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2B5541">
      <w:pPr>
        <w:pStyle w:val="87"/>
        <w:spacing w:beforeLines="0" w:after="120"/>
        <w:ind w:right="840" w:rightChars="400"/>
        <w:rPr>
          <w:color w:val="000000"/>
        </w:rPr>
      </w:pPr>
      <w:bookmarkStart w:id="0" w:name="mbookmark_301biaozhunwenjian"/>
      <w:bookmarkStart w:id="1" w:name="mbookmark0"/>
      <w:r>
        <w:rPr>
          <w:color w:val="000000"/>
        </w:rPr>
        <mc:AlternateContent>
          <mc:Choice Requires="wps">
            <w:drawing>
              <wp:anchor distT="0" distB="0" distL="114300" distR="114300" simplePos="0" relativeHeight="251673600" behindDoc="0" locked="1" layoutInCell="1" allowOverlap="1">
                <wp:simplePos x="0" y="0"/>
                <wp:positionH relativeFrom="page">
                  <wp:posOffset>3924300</wp:posOffset>
                </wp:positionH>
                <wp:positionV relativeFrom="page">
                  <wp:posOffset>8869680</wp:posOffset>
                </wp:positionV>
                <wp:extent cx="3095625" cy="398145"/>
                <wp:effectExtent l="0" t="0" r="0" b="0"/>
                <wp:wrapNone/>
                <wp:docPr id="21" name="Text Box 123"/>
                <wp:cNvGraphicFramePr/>
                <a:graphic xmlns:a="http://schemas.openxmlformats.org/drawingml/2006/main">
                  <a:graphicData uri="http://schemas.microsoft.com/office/word/2010/wordprocessingShape">
                    <wps:wsp>
                      <wps:cNvSpPr txBox="1">
                        <a:spLocks noChangeArrowheads="1"/>
                      </wps:cNvSpPr>
                      <wps:spPr bwMode="auto">
                        <a:xfrm>
                          <a:off x="0" y="0"/>
                          <a:ext cx="3095625" cy="398145"/>
                        </a:xfrm>
                        <a:prstGeom prst="rect">
                          <a:avLst/>
                        </a:prstGeom>
                        <a:noFill/>
                        <a:ln>
                          <a:noFill/>
                        </a:ln>
                      </wps:spPr>
                      <wps:txbx>
                        <w:txbxContent>
                          <w:p w14:paraId="7ED36413">
                            <w:pPr>
                              <w:wordWrap w:val="0"/>
                              <w:adjustRightInd/>
                              <w:spacing w:before="120" w:beforeLines="50" w:line="240" w:lineRule="auto"/>
                              <w:jc w:val="right"/>
                              <w:rPr>
                                <w:rStyle w:val="49"/>
                                <w:rFonts w:hint="eastAsia"/>
                                <w:spacing w:val="2"/>
                                <w:kern w:val="0"/>
                                <w:szCs w:val="42"/>
                              </w:rPr>
                            </w:pPr>
                            <w:r>
                              <w:rPr>
                                <w:rStyle w:val="49"/>
                                <w:rFonts w:hint="eastAsia"/>
                                <w:spacing w:val="2"/>
                                <w:kern w:val="0"/>
                                <w:szCs w:val="42"/>
                              </w:rPr>
                              <w:t xml:space="preserve">XXXX–XX–XX 实施    </w:t>
                            </w:r>
                          </w:p>
                        </w:txbxContent>
                      </wps:txbx>
                      <wps:bodyPr rot="0" vert="horz" wrap="square" lIns="91440" tIns="45720" rIns="91440" bIns="45720" anchor="t" anchorCtr="0" upright="1">
                        <a:noAutofit/>
                      </wps:bodyPr>
                    </wps:wsp>
                  </a:graphicData>
                </a:graphic>
              </wp:anchor>
            </w:drawing>
          </mc:Choice>
          <mc:Fallback>
            <w:pict>
              <v:shape id="Text Box 123" o:spid="_x0000_s1026" o:spt="202" type="#_x0000_t202" style="position:absolute;left:0pt;margin-left:309pt;margin-top:698.4pt;height:31.35pt;width:243.75pt;mso-position-horizontal-relative:page;mso-position-vertical-relative:page;z-index:251673600;mso-width-relative:page;mso-height-relative:page;" filled="f" stroked="f" coordsize="21600,21600" o:gfxdata="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boM7/ZAAAADgEAAA8AAAAAAAAAAQAgAAAA&#10;IgAAAGRycy9kb3ducmV2LnhtbFBLAQIUABQAAAAIAIdO4kAg+WKaCgIAABcEAAAOAAAAAAAAAAEA&#10;IAAAACgBAABkcnMvZTJvRG9jLnhtbFBLBQYAAAAABgAGAFkBAACkBQAAAAA=&#10;">
                <v:fill on="f" focussize="0,0"/>
                <v:stroke on="f"/>
                <v:imagedata o:title=""/>
                <o:lock v:ext="edit" aspectratio="f"/>
                <v:textbox>
                  <w:txbxContent>
                    <w:p w14:paraId="7ED36413">
                      <w:pPr>
                        <w:wordWrap w:val="0"/>
                        <w:adjustRightInd/>
                        <w:spacing w:before="120" w:beforeLines="50" w:line="240" w:lineRule="auto"/>
                        <w:jc w:val="right"/>
                        <w:rPr>
                          <w:rStyle w:val="49"/>
                          <w:rFonts w:hint="eastAsia"/>
                          <w:spacing w:val="2"/>
                          <w:kern w:val="0"/>
                          <w:szCs w:val="42"/>
                        </w:rPr>
                      </w:pPr>
                      <w:r>
                        <w:rPr>
                          <w:rStyle w:val="49"/>
                          <w:rFonts w:hint="eastAsia"/>
                          <w:spacing w:val="2"/>
                          <w:kern w:val="0"/>
                          <w:szCs w:val="42"/>
                        </w:rPr>
                        <w:t xml:space="preserve">XXXX–XX–XX 实施    </w:t>
                      </w:r>
                    </w:p>
                  </w:txbxContent>
                </v:textbox>
                <w10:anchorlock/>
              </v:shape>
            </w:pict>
          </mc:Fallback>
        </mc:AlternateContent>
      </w:r>
      <w:r>
        <w:rPr>
          <w:color w:val="000000"/>
        </w:rPr>
        <w:drawing>
          <wp:inline distT="0" distB="0" distL="0" distR="0">
            <wp:extent cx="1871980" cy="7416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srcRect/>
                    <a:stretch>
                      <a:fillRect/>
                    </a:stretch>
                  </pic:blipFill>
                  <pic:spPr>
                    <a:xfrm>
                      <a:off x="0" y="0"/>
                      <a:ext cx="1871980" cy="741680"/>
                    </a:xfrm>
                    <a:prstGeom prst="rect">
                      <a:avLst/>
                    </a:prstGeom>
                    <a:noFill/>
                    <a:ln w="9525">
                      <a:noFill/>
                      <a:miter lim="800000"/>
                      <a:headEnd/>
                      <a:tailEnd/>
                    </a:ln>
                  </pic:spPr>
                </pic:pic>
              </a:graphicData>
            </a:graphic>
          </wp:inline>
        </w:drawing>
      </w:r>
      <w:bookmarkEnd w:id="0"/>
    </w:p>
    <w:p w14:paraId="6D728676">
      <w:pPr>
        <w:pStyle w:val="87"/>
        <w:spacing w:beforeLines="0" w:after="120"/>
        <w:ind w:right="0" w:rightChars="0"/>
        <w:jc w:val="center"/>
        <w:rPr>
          <w:color w:val="000000"/>
          <w:kern w:val="2"/>
        </w:rPr>
      </w:pPr>
      <w:r>
        <w:rPr>
          <w:rStyle w:val="65"/>
          <w:rFonts w:hint="eastAsia"/>
          <w:color w:val="000000"/>
          <w:w w:val="120"/>
          <w:sz w:val="52"/>
          <w:szCs w:val="52"/>
        </w:rPr>
        <w:t>中华人民共和国国家</w:t>
      </w:r>
      <w:r>
        <w:rPr>
          <w:rStyle w:val="65"/>
          <w:color w:val="000000"/>
          <w:w w:val="120"/>
          <w:sz w:val="52"/>
          <w:szCs w:val="52"/>
        </w:rPr>
        <w:t>计量技术规范</w:t>
      </w:r>
    </w:p>
    <w:p w14:paraId="5D9D53A1">
      <w:pPr>
        <w:pStyle w:val="87"/>
        <w:spacing w:before="240" w:beforeLines="100" w:after="120"/>
        <w:ind w:right="840" w:rightChars="400"/>
        <w:rPr>
          <w:rStyle w:val="53"/>
          <w:rFonts w:hint="eastAsia" w:ascii="黑体" w:hAnsi="黑体" w:eastAsia="黑体"/>
          <w:b w:val="0"/>
          <w:color w:val="000000"/>
        </w:rPr>
      </w:pPr>
      <w:r>
        <w:rPr>
          <w:rStyle w:val="53"/>
          <w:rFonts w:ascii="黑体" w:hAnsi="黑体" w:eastAsia="黑体"/>
          <w:color w:val="000000"/>
          <w:sz w:val="28"/>
          <w:szCs w:val="28"/>
        </w:rPr>
        <w:t>JJF XXXX—XXXX</w:t>
      </w:r>
    </w:p>
    <w:p w14:paraId="779E1D94">
      <w:pPr>
        <w:pStyle w:val="72"/>
        <w:adjustRightInd w:val="0"/>
        <w:snapToGrid w:val="0"/>
        <w:ind w:firstLine="420" w:firstLineChars="0"/>
        <w:rPr>
          <w:color w:val="000000"/>
          <w:sz w:val="36"/>
          <w:szCs w:val="42"/>
        </w:rPr>
      </w:pPr>
    </w:p>
    <w:p w14:paraId="0E8452D8">
      <w:pPr>
        <w:pStyle w:val="72"/>
        <w:ind w:firstLine="480"/>
        <w:jc w:val="center"/>
        <w:rPr>
          <w:b/>
          <w:color w:val="000000"/>
        </w:rPr>
        <w:sectPr>
          <w:headerReference r:id="rId5" w:type="default"/>
          <w:footerReference r:id="rId7" w:type="default"/>
          <w:headerReference r:id="rId6" w:type="even"/>
          <w:footerReference r:id="rId8" w:type="even"/>
          <w:pgSz w:w="11906" w:h="16838"/>
          <w:pgMar w:top="567" w:right="849" w:bottom="1134" w:left="1418" w:header="0" w:footer="0" w:gutter="0"/>
          <w:pgNumType w:fmt="upperRoman" w:start="0"/>
          <w:cols w:space="720" w:num="1"/>
          <w:titlePg/>
          <w:docGrid w:linePitch="312" w:charSpace="0"/>
        </w:sectPr>
      </w:pPr>
      <w:r>
        <w:rPr>
          <w:color w:val="000000"/>
        </w:rPr>
        <w:pict>
          <v:shape id="_x0000_s2166" o:spid="_x0000_s2166" o:spt="75" type="#_x0000_t75" style="position:absolute;left:0pt;margin-left:71.2pt;margin-top:216pt;height:2pt;width:467.7pt;mso-position-horizontal-relative:page;mso-position-vertical-relative:page;mso-wrap-distance-bottom:0pt;mso-wrap-distance-left:9.05pt;mso-wrap-distance-right:9.05pt;mso-wrap-distance-top:0pt;z-index:251670528;mso-width-relative:page;mso-height-relative:top-margin-area;mso-height-percent:75;" o:ole="t" filled="f" o:preferrelative="t" stroked="f" coordsize="21600,21600" o:allowincell="f">
            <v:path/>
            <v:fill on="f" focussize="0,0"/>
            <v:stroke on="f" joinstyle="miter"/>
            <v:imagedata r:id="rId23" o:title=""/>
            <o:lock v:ext="edit" aspectratio="t"/>
            <w10:wrap type="square"/>
            <w10:anchorlock/>
          </v:shape>
          <o:OLEObject Type="Embed" ProgID="Word.Picture.8" ShapeID="_x0000_s2166" DrawAspect="Content" ObjectID="_1468075725" r:id="rId22">
            <o:LockedField>false</o:LockedField>
          </o:OLEObject>
        </w:pict>
      </w:r>
      <w:r>
        <w:rPr>
          <w:color w:val="000000"/>
        </w:rPr>
        <mc:AlternateContent>
          <mc:Choice Requires="wps">
            <w:drawing>
              <wp:anchor distT="0" distB="0" distL="114300" distR="114300" simplePos="0" relativeHeight="251674624" behindDoc="0" locked="1" layoutInCell="1" allowOverlap="1">
                <wp:simplePos x="0" y="0"/>
                <wp:positionH relativeFrom="page">
                  <wp:posOffset>900430</wp:posOffset>
                </wp:positionH>
                <wp:positionV relativeFrom="page">
                  <wp:posOffset>4366895</wp:posOffset>
                </wp:positionV>
                <wp:extent cx="6324600" cy="523875"/>
                <wp:effectExtent l="0" t="0" r="0" b="0"/>
                <wp:wrapNone/>
                <wp:docPr id="516340994" name="Text Box 132"/>
                <wp:cNvGraphicFramePr/>
                <a:graphic xmlns:a="http://schemas.openxmlformats.org/drawingml/2006/main">
                  <a:graphicData uri="http://schemas.microsoft.com/office/word/2010/wordprocessingShape">
                    <wps:wsp>
                      <wps:cNvSpPr txBox="1">
                        <a:spLocks noChangeArrowheads="1"/>
                      </wps:cNvSpPr>
                      <wps:spPr bwMode="auto">
                        <a:xfrm>
                          <a:off x="0" y="0"/>
                          <a:ext cx="6324600" cy="523875"/>
                        </a:xfrm>
                        <a:prstGeom prst="rect">
                          <a:avLst/>
                        </a:prstGeom>
                        <a:noFill/>
                        <a:ln>
                          <a:noFill/>
                        </a:ln>
                      </wps:spPr>
                      <wps:txbx>
                        <w:txbxContent>
                          <w:p w14:paraId="3DD7F646">
                            <w:pPr>
                              <w:spacing w:line="360" w:lineRule="auto"/>
                              <w:jc w:val="center"/>
                              <w:rPr>
                                <w:rFonts w:hint="eastAsia" w:ascii="黑体" w:hAnsi="黑体" w:eastAsia="黑体"/>
                                <w:b/>
                                <w:sz w:val="52"/>
                                <w:szCs w:val="52"/>
                              </w:rPr>
                            </w:pPr>
                            <w:r>
                              <w:rPr>
                                <w:rFonts w:hint="eastAsia" w:ascii="黑体" w:hAnsi="黑体" w:eastAsia="黑体"/>
                                <w:b/>
                                <w:sz w:val="52"/>
                                <w:szCs w:val="52"/>
                              </w:rPr>
                              <w:t>润滑油空气释放值测定仪校准规范</w:t>
                            </w:r>
                          </w:p>
                          <w:p w14:paraId="210FAF5A">
                            <w:pPr>
                              <w:spacing w:line="360" w:lineRule="auto"/>
                              <w:jc w:val="center"/>
                              <w:rPr>
                                <w:rFonts w:hint="eastAsia" w:ascii="黑体" w:hAnsi="黑体" w:eastAsia="黑体"/>
                                <w:b/>
                                <w:sz w:val="28"/>
                                <w:szCs w:val="28"/>
                              </w:rPr>
                            </w:pPr>
                            <w:r>
                              <w:rPr>
                                <w:rFonts w:ascii="黑体" w:hAnsi="黑体" w:eastAsia="黑体"/>
                                <w:b/>
                                <w:sz w:val="28"/>
                                <w:szCs w:val="28"/>
                              </w:rPr>
                              <w:t xml:space="preserve">Calibration specificationsfor </w:t>
                            </w:r>
                            <w:r>
                              <w:rPr>
                                <w:rFonts w:hint="eastAsia" w:ascii="黑体" w:hAnsi="黑体" w:eastAsia="黑体"/>
                                <w:b/>
                                <w:sz w:val="28"/>
                                <w:szCs w:val="28"/>
                              </w:rPr>
                              <w:t xml:space="preserve">AdsorbableOrganically </w:t>
                            </w:r>
                          </w:p>
                          <w:p w14:paraId="71C6D3F4">
                            <w:pPr>
                              <w:spacing w:line="240" w:lineRule="auto"/>
                              <w:jc w:val="center"/>
                              <w:rPr>
                                <w:bCs/>
                              </w:rPr>
                            </w:pPr>
                            <w:r>
                              <w:rPr>
                                <w:rFonts w:hint="eastAsia" w:ascii="黑体" w:hAnsi="黑体" w:eastAsia="黑体"/>
                                <w:b/>
                                <w:sz w:val="28"/>
                                <w:szCs w:val="28"/>
                              </w:rPr>
                              <w:t>Bound HalogensAnalyzers</w:t>
                            </w:r>
                          </w:p>
                          <w:p w14:paraId="73BE23AF"/>
                        </w:txbxContent>
                      </wps:txbx>
                      <wps:bodyPr rot="0" vert="horz" wrap="square" lIns="91440" tIns="45720" rIns="91440" bIns="45720" anchor="t" anchorCtr="0" upright="1">
                        <a:noAutofit/>
                      </wps:bodyPr>
                    </wps:wsp>
                  </a:graphicData>
                </a:graphic>
              </wp:anchor>
            </w:drawing>
          </mc:Choice>
          <mc:Fallback>
            <w:pict>
              <v:shape id="Text Box 132" o:spid="_x0000_s1026" o:spt="202" type="#_x0000_t202" style="position:absolute;left:0pt;margin-left:70.9pt;margin-top:343.85pt;height:41.25pt;width:498pt;mso-position-horizontal-relative:page;mso-position-vertical-relative:page;z-index:251674624;mso-width-relative:page;mso-height-relative:page;" filled="f" stroked="f" coordsize="21600,21600" o:gfxdata="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eDIr9gAAAAMAQAADwAAAAAAAAAB&#10;ACAAAAAiAAAAZHJzL2Rvd25yZXYueG1sUEsBAhQAFAAAAAgAh07iQKjYpbQQAgAAHgQAAA4AAAAA&#10;AAAAAQAgAAAAJwEAAGRycy9lMm9Eb2MueG1sUEsFBgAAAAAGAAYAWQEAAKkFAAAAAA==&#10;">
                <v:fill on="f" focussize="0,0"/>
                <v:stroke on="f"/>
                <v:imagedata o:title=""/>
                <o:lock v:ext="edit" aspectratio="f"/>
                <v:textbox>
                  <w:txbxContent>
                    <w:p w14:paraId="3DD7F646">
                      <w:pPr>
                        <w:spacing w:line="360" w:lineRule="auto"/>
                        <w:jc w:val="center"/>
                        <w:rPr>
                          <w:rFonts w:hint="eastAsia" w:ascii="黑体" w:hAnsi="黑体" w:eastAsia="黑体"/>
                          <w:b/>
                          <w:sz w:val="52"/>
                          <w:szCs w:val="52"/>
                        </w:rPr>
                      </w:pPr>
                      <w:r>
                        <w:rPr>
                          <w:rFonts w:hint="eastAsia" w:ascii="黑体" w:hAnsi="黑体" w:eastAsia="黑体"/>
                          <w:b/>
                          <w:sz w:val="52"/>
                          <w:szCs w:val="52"/>
                        </w:rPr>
                        <w:t>润滑油空气释放值测定仪校准规范</w:t>
                      </w:r>
                    </w:p>
                    <w:p w14:paraId="210FAF5A">
                      <w:pPr>
                        <w:spacing w:line="360" w:lineRule="auto"/>
                        <w:jc w:val="center"/>
                        <w:rPr>
                          <w:rFonts w:hint="eastAsia" w:ascii="黑体" w:hAnsi="黑体" w:eastAsia="黑体"/>
                          <w:b/>
                          <w:sz w:val="28"/>
                          <w:szCs w:val="28"/>
                        </w:rPr>
                      </w:pPr>
                      <w:r>
                        <w:rPr>
                          <w:rFonts w:ascii="黑体" w:hAnsi="黑体" w:eastAsia="黑体"/>
                          <w:b/>
                          <w:sz w:val="28"/>
                          <w:szCs w:val="28"/>
                        </w:rPr>
                        <w:t xml:space="preserve">Calibration specificationsfor </w:t>
                      </w:r>
                      <w:r>
                        <w:rPr>
                          <w:rFonts w:hint="eastAsia" w:ascii="黑体" w:hAnsi="黑体" w:eastAsia="黑体"/>
                          <w:b/>
                          <w:sz w:val="28"/>
                          <w:szCs w:val="28"/>
                        </w:rPr>
                        <w:t xml:space="preserve">AdsorbableOrganically </w:t>
                      </w:r>
                    </w:p>
                    <w:p w14:paraId="71C6D3F4">
                      <w:pPr>
                        <w:spacing w:line="240" w:lineRule="auto"/>
                        <w:jc w:val="center"/>
                        <w:rPr>
                          <w:bCs/>
                        </w:rPr>
                      </w:pPr>
                      <w:r>
                        <w:rPr>
                          <w:rFonts w:hint="eastAsia" w:ascii="黑体" w:hAnsi="黑体" w:eastAsia="黑体"/>
                          <w:b/>
                          <w:sz w:val="28"/>
                          <w:szCs w:val="28"/>
                        </w:rPr>
                        <w:t>Bound HalogensAnalyzers</w:t>
                      </w:r>
                    </w:p>
                    <w:p w14:paraId="73BE23AF"/>
                  </w:txbxContent>
                </v:textbox>
                <w10:anchorlock/>
              </v:shape>
            </w:pict>
          </mc:Fallback>
        </mc:AlternateContent>
      </w:r>
      <w:r>
        <w:rPr>
          <w:color w:val="000000"/>
        </w:rPr>
        <mc:AlternateContent>
          <mc:Choice Requires="wps">
            <w:drawing>
              <wp:anchor distT="0" distB="0" distL="114300" distR="114300" simplePos="0" relativeHeight="251675648" behindDoc="0" locked="1" layoutInCell="1" allowOverlap="1">
                <wp:simplePos x="0" y="0"/>
                <wp:positionH relativeFrom="page">
                  <wp:posOffset>900430</wp:posOffset>
                </wp:positionH>
                <wp:positionV relativeFrom="page">
                  <wp:posOffset>4886325</wp:posOffset>
                </wp:positionV>
                <wp:extent cx="6024245" cy="951230"/>
                <wp:effectExtent l="0" t="0" r="0" b="0"/>
                <wp:wrapNone/>
                <wp:docPr id="1414128755" name="Text Box 133"/>
                <wp:cNvGraphicFramePr/>
                <a:graphic xmlns:a="http://schemas.openxmlformats.org/drawingml/2006/main">
                  <a:graphicData uri="http://schemas.microsoft.com/office/word/2010/wordprocessingShape">
                    <wps:wsp>
                      <wps:cNvSpPr txBox="1">
                        <a:spLocks noChangeArrowheads="1"/>
                      </wps:cNvSpPr>
                      <wps:spPr bwMode="auto">
                        <a:xfrm>
                          <a:off x="0" y="0"/>
                          <a:ext cx="6024245" cy="951230"/>
                        </a:xfrm>
                        <a:prstGeom prst="rect">
                          <a:avLst/>
                        </a:prstGeom>
                        <a:noFill/>
                        <a:ln>
                          <a:noFill/>
                        </a:ln>
                      </wps:spPr>
                      <wps:txbx>
                        <w:txbxContent>
                          <w:p w14:paraId="365A8661">
                            <w:pPr>
                              <w:spacing w:line="360" w:lineRule="auto"/>
                              <w:jc w:val="center"/>
                              <w:rPr>
                                <w:rFonts w:hint="eastAsia" w:ascii="黑体" w:hAnsi="黑体" w:eastAsia="黑体"/>
                                <w:b/>
                                <w:sz w:val="28"/>
                                <w:szCs w:val="28"/>
                              </w:rPr>
                            </w:pPr>
                            <w:r>
                              <w:rPr>
                                <w:rFonts w:ascii="黑体" w:hAnsi="黑体" w:eastAsia="黑体"/>
                                <w:b/>
                                <w:sz w:val="28"/>
                                <w:szCs w:val="28"/>
                              </w:rPr>
                              <w:t>Calibration Specification for Analyzers for Air Release Value of Lubricants</w:t>
                            </w:r>
                          </w:p>
                          <w:p w14:paraId="40EC7FED">
                            <w:pPr>
                              <w:spacing w:line="360" w:lineRule="auto"/>
                              <w:jc w:val="center"/>
                              <w:rPr>
                                <w:sz w:val="24"/>
                                <w:szCs w:val="24"/>
                              </w:rPr>
                            </w:pPr>
                            <w:r>
                              <w:rPr>
                                <w:rFonts w:hint="eastAsia"/>
                                <w:sz w:val="24"/>
                                <w:szCs w:val="24"/>
                              </w:rPr>
                              <w:t>（征求意见稿）</w:t>
                            </w:r>
                          </w:p>
                        </w:txbxContent>
                      </wps:txbx>
                      <wps:bodyPr rot="0" vert="horz" wrap="square" lIns="91440" tIns="45720" rIns="91440" bIns="45720" anchor="t" anchorCtr="0" upright="1">
                        <a:noAutofit/>
                      </wps:bodyPr>
                    </wps:wsp>
                  </a:graphicData>
                </a:graphic>
              </wp:anchor>
            </w:drawing>
          </mc:Choice>
          <mc:Fallback>
            <w:pict>
              <v:shape id="Text Box 133" o:spid="_x0000_s1026" o:spt="202" type="#_x0000_t202" style="position:absolute;left:0pt;margin-left:70.9pt;margin-top:384.75pt;height:74.9pt;width:474.35pt;mso-position-horizontal-relative:page;mso-position-vertical-relative:page;z-index:251675648;mso-width-relative:page;mso-height-relative:page;" filled="f" stroked="f" coordsize="21600,21600" o:gfxdata="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MkDadgAAAAMAQAADwAAAAAAAAAB&#10;ACAAAAAiAAAAZHJzL2Rvd25yZXYueG1sUEsBAhQAFAAAAAgAh07iQLegeUgQAgAAHwQAAA4AAAAA&#10;AAAAAQAgAAAAJwEAAGRycy9lMm9Eb2MueG1sUEsFBgAAAAAGAAYAWQEAAKkFAAAAAA==&#10;">
                <v:fill on="f" focussize="0,0"/>
                <v:stroke on="f"/>
                <v:imagedata o:title=""/>
                <o:lock v:ext="edit" aspectratio="f"/>
                <v:textbox>
                  <w:txbxContent>
                    <w:p w14:paraId="365A8661">
                      <w:pPr>
                        <w:spacing w:line="360" w:lineRule="auto"/>
                        <w:jc w:val="center"/>
                        <w:rPr>
                          <w:rFonts w:hint="eastAsia" w:ascii="黑体" w:hAnsi="黑体" w:eastAsia="黑体"/>
                          <w:b/>
                          <w:sz w:val="28"/>
                          <w:szCs w:val="28"/>
                        </w:rPr>
                      </w:pPr>
                      <w:r>
                        <w:rPr>
                          <w:rFonts w:ascii="黑体" w:hAnsi="黑体" w:eastAsia="黑体"/>
                          <w:b/>
                          <w:sz w:val="28"/>
                          <w:szCs w:val="28"/>
                        </w:rPr>
                        <w:t>Calibration Specification for Analyzers for Air Release Value of Lubricants</w:t>
                      </w:r>
                    </w:p>
                    <w:p w14:paraId="40EC7FED">
                      <w:pPr>
                        <w:spacing w:line="360" w:lineRule="auto"/>
                        <w:jc w:val="center"/>
                        <w:rPr>
                          <w:sz w:val="24"/>
                          <w:szCs w:val="24"/>
                        </w:rPr>
                      </w:pPr>
                      <w:r>
                        <w:rPr>
                          <w:rFonts w:hint="eastAsia"/>
                          <w:sz w:val="24"/>
                          <w:szCs w:val="24"/>
                        </w:rPr>
                        <w:t>（征求意见稿）</w:t>
                      </w:r>
                    </w:p>
                  </w:txbxContent>
                </v:textbox>
                <w10:anchorlock/>
              </v:shape>
            </w:pict>
          </mc:Fallback>
        </mc:AlternateContent>
      </w:r>
      <w:r>
        <w:rPr>
          <w:color w:val="000000"/>
        </w:rPr>
        <mc:AlternateContent>
          <mc:Choice Requires="wps">
            <w:drawing>
              <wp:anchor distT="0" distB="0" distL="114300" distR="114300" simplePos="0" relativeHeight="251672576" behindDoc="0" locked="1" layoutInCell="1" allowOverlap="1">
                <wp:simplePos x="0" y="0"/>
                <wp:positionH relativeFrom="page">
                  <wp:posOffset>900430</wp:posOffset>
                </wp:positionH>
                <wp:positionV relativeFrom="page">
                  <wp:posOffset>8867775</wp:posOffset>
                </wp:positionV>
                <wp:extent cx="3023870" cy="398145"/>
                <wp:effectExtent l="0" t="0" r="0" b="0"/>
                <wp:wrapNone/>
                <wp:docPr id="1523608747" name="Text Box 122"/>
                <wp:cNvGraphicFramePr/>
                <a:graphic xmlns:a="http://schemas.openxmlformats.org/drawingml/2006/main">
                  <a:graphicData uri="http://schemas.microsoft.com/office/word/2010/wordprocessingShape">
                    <wps:wsp>
                      <wps:cNvSpPr txBox="1">
                        <a:spLocks noChangeArrowheads="1"/>
                      </wps:cNvSpPr>
                      <wps:spPr bwMode="auto">
                        <a:xfrm>
                          <a:off x="0" y="0"/>
                          <a:ext cx="3023870" cy="398145"/>
                        </a:xfrm>
                        <a:prstGeom prst="rect">
                          <a:avLst/>
                        </a:prstGeom>
                        <a:noFill/>
                        <a:ln>
                          <a:noFill/>
                        </a:ln>
                      </wps:spPr>
                      <wps:txbx>
                        <w:txbxContent>
                          <w:p w14:paraId="7F61F914">
                            <w:pPr>
                              <w:adjustRightInd/>
                              <w:spacing w:before="120" w:beforeLines="50" w:line="240" w:lineRule="auto"/>
                              <w:rPr>
                                <w:rStyle w:val="49"/>
                                <w:rFonts w:hint="eastAsia"/>
                                <w:spacing w:val="2"/>
                                <w:kern w:val="0"/>
                                <w:szCs w:val="42"/>
                              </w:rPr>
                            </w:pPr>
                            <w:r>
                              <w:rPr>
                                <w:rStyle w:val="49"/>
                                <w:rFonts w:hint="eastAsia"/>
                              </w:rPr>
                              <w:t>XXXX–XX–XX</w:t>
                            </w:r>
                            <w:r>
                              <w:rPr>
                                <w:rStyle w:val="49"/>
                                <w:rFonts w:hint="eastAsia"/>
                                <w:spacing w:val="2"/>
                                <w:kern w:val="0"/>
                                <w:szCs w:val="42"/>
                              </w:rPr>
                              <w:t xml:space="preserve"> 发布</w:t>
                            </w:r>
                          </w:p>
                        </w:txbxContent>
                      </wps:txbx>
                      <wps:bodyPr rot="0" vert="horz" wrap="square" lIns="91440" tIns="45720" rIns="91440" bIns="45720" anchor="t" anchorCtr="0" upright="1">
                        <a:spAutoFit/>
                      </wps:bodyPr>
                    </wps:wsp>
                  </a:graphicData>
                </a:graphic>
              </wp:anchor>
            </w:drawing>
          </mc:Choice>
          <mc:Fallback>
            <w:pict>
              <v:shape id="Text Box 122" o:spid="_x0000_s1026" o:spt="202" type="#_x0000_t202" style="position:absolute;left:0pt;margin-left:70.9pt;margin-top:698.25pt;height:31.35pt;width:238.1pt;mso-position-horizontal-relative:page;mso-position-vertical-relative:page;z-index:251672576;mso-width-relative:page;mso-height-relative:page;" filled="f" stroked="f" coordsize="21600,21600" o:gfxdata="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Anp39kAAAANAQAADwAAAAAAAAAB&#10;ACAAAAAiAAAAZHJzL2Rvd25yZXYueG1sUEsBAhQAFAAAAAgAh07iQLgJHWkPAgAAHwQAAA4AAAAA&#10;AAAAAQAgAAAAKAEAAGRycy9lMm9Eb2MueG1sUEsFBgAAAAAGAAYAWQEAAKkFAAAAAA==&#10;">
                <v:fill on="f" focussize="0,0"/>
                <v:stroke on="f"/>
                <v:imagedata o:title=""/>
                <o:lock v:ext="edit" aspectratio="f"/>
                <v:textbox style="mso-fit-shape-to-text:t;">
                  <w:txbxContent>
                    <w:p w14:paraId="7F61F914">
                      <w:pPr>
                        <w:adjustRightInd/>
                        <w:spacing w:before="120" w:beforeLines="50" w:line="240" w:lineRule="auto"/>
                        <w:rPr>
                          <w:rStyle w:val="49"/>
                          <w:rFonts w:hint="eastAsia"/>
                          <w:spacing w:val="2"/>
                          <w:kern w:val="0"/>
                          <w:szCs w:val="42"/>
                        </w:rPr>
                      </w:pPr>
                      <w:r>
                        <w:rPr>
                          <w:rStyle w:val="49"/>
                          <w:rFonts w:hint="eastAsia"/>
                        </w:rPr>
                        <w:t>XXXX–XX–XX</w:t>
                      </w:r>
                      <w:r>
                        <w:rPr>
                          <w:rStyle w:val="49"/>
                          <w:rFonts w:hint="eastAsia"/>
                          <w:spacing w:val="2"/>
                          <w:kern w:val="0"/>
                          <w:szCs w:val="42"/>
                        </w:rPr>
                        <w:t xml:space="preserve"> 发布</w:t>
                      </w:r>
                    </w:p>
                  </w:txbxContent>
                </v:textbox>
                <w10:anchorlock/>
              </v:shape>
            </w:pict>
          </mc:Fallback>
        </mc:AlternateContent>
      </w:r>
      <w:r>
        <w:rPr>
          <w:color w:val="000000"/>
        </w:rPr>
        <mc:AlternateContent>
          <mc:Choice Requires="wps">
            <w:drawing>
              <wp:anchor distT="0" distB="0" distL="114300" distR="114300" simplePos="0" relativeHeight="251671552" behindDoc="0" locked="1" layoutInCell="1" allowOverlap="1">
                <wp:simplePos x="0" y="0"/>
                <wp:positionH relativeFrom="page">
                  <wp:posOffset>900430</wp:posOffset>
                </wp:positionH>
                <wp:positionV relativeFrom="page">
                  <wp:posOffset>9201150</wp:posOffset>
                </wp:positionV>
                <wp:extent cx="6120130" cy="767715"/>
                <wp:effectExtent l="0" t="0" r="0" b="0"/>
                <wp:wrapNone/>
                <wp:docPr id="1496435082" name="Text Box 121"/>
                <wp:cNvGraphicFramePr/>
                <a:graphic xmlns:a="http://schemas.openxmlformats.org/drawingml/2006/main">
                  <a:graphicData uri="http://schemas.microsoft.com/office/word/2010/wordprocessingShape">
                    <wps:wsp>
                      <wps:cNvSpPr txBox="1">
                        <a:spLocks noChangeArrowheads="1"/>
                      </wps:cNvSpPr>
                      <wps:spPr bwMode="auto">
                        <a:xfrm>
                          <a:off x="0" y="0"/>
                          <a:ext cx="6120130" cy="767715"/>
                        </a:xfrm>
                        <a:prstGeom prst="rect">
                          <a:avLst/>
                        </a:prstGeom>
                        <a:noFill/>
                        <a:ln>
                          <a:noFill/>
                        </a:ln>
                      </wps:spPr>
                      <wps:txbx>
                        <w:txbxContent>
                          <w:p w14:paraId="6EDD7919">
                            <w:pPr>
                              <w:spacing w:before="600" w:beforeLines="250" w:line="240" w:lineRule="auto"/>
                              <w:jc w:val="center"/>
                            </w:pPr>
                            <w:r>
                              <w:rPr>
                                <w:rFonts w:hint="eastAsia" w:ascii="华文中宋" w:hAnsi="华文中宋" w:eastAsia="华文中宋"/>
                                <w:b/>
                                <w:spacing w:val="2"/>
                                <w:kern w:val="0"/>
                                <w:sz w:val="36"/>
                                <w:szCs w:val="36"/>
                              </w:rPr>
                              <w:t>国 家 市 场 监 督 管 理 总 局</w:t>
                            </w:r>
                            <w:r>
                              <w:rPr>
                                <w:rFonts w:hint="eastAsia" w:ascii="黑体" w:eastAsia="黑体"/>
                                <w:b/>
                                <w:spacing w:val="2"/>
                                <w:kern w:val="0"/>
                                <w:sz w:val="28"/>
                                <w:szCs w:val="28"/>
                              </w:rPr>
                              <w:t>发  布</w:t>
                            </w:r>
                          </w:p>
                          <w:p w14:paraId="417BA599">
                            <w:pPr>
                              <w:spacing w:before="600" w:beforeLines="250" w:line="240" w:lineRule="auto"/>
                              <w:jc w:val="center"/>
                            </w:pPr>
                          </w:p>
                        </w:txbxContent>
                      </wps:txbx>
                      <wps:bodyPr rot="0" vert="horz" wrap="square" lIns="91440" tIns="36029" rIns="91440" bIns="36029" anchor="t" anchorCtr="0" upright="1">
                        <a:noAutofit/>
                      </wps:bodyPr>
                    </wps:wsp>
                  </a:graphicData>
                </a:graphic>
              </wp:anchor>
            </w:drawing>
          </mc:Choice>
          <mc:Fallback>
            <w:pict>
              <v:shape id="Text Box 121" o:spid="_x0000_s1026" o:spt="202" type="#_x0000_t202" style="position:absolute;left:0pt;margin-left:70.9pt;margin-top:724.5pt;height:60.45pt;width:481.9pt;mso-position-horizontal-relative:page;mso-position-vertical-relative:page;z-index:251671552;mso-width-relative:page;mso-height-relative:page;" filled="f" stroked="f" coordsize="21600,21600" o:gfxdata="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zzY3vaAAAADgEAAA8AAAAAAAAA&#10;AQAgAAAAIgAAAGRycy9kb3ducmV2LnhtbFBLAQIUABQAAAAIAIdO4kCtH4T5DwIAAB8EAAAOAAAA&#10;AAAAAAEAIAAAACkBAABkcnMvZTJvRG9jLnhtbFBLBQYAAAAABgAGAFkBAACqBQAAAAA=&#10;">
                <v:fill on="f" focussize="0,0"/>
                <v:stroke on="f"/>
                <v:imagedata o:title=""/>
                <o:lock v:ext="edit" aspectratio="f"/>
                <v:textbox inset="2.54mm,2.83692913385827pt,2.54mm,2.83692913385827pt">
                  <w:txbxContent>
                    <w:p w14:paraId="6EDD7919">
                      <w:pPr>
                        <w:spacing w:before="600" w:beforeLines="250" w:line="240" w:lineRule="auto"/>
                        <w:jc w:val="center"/>
                      </w:pPr>
                      <w:r>
                        <w:rPr>
                          <w:rFonts w:hint="eastAsia" w:ascii="华文中宋" w:hAnsi="华文中宋" w:eastAsia="华文中宋"/>
                          <w:b/>
                          <w:spacing w:val="2"/>
                          <w:kern w:val="0"/>
                          <w:sz w:val="36"/>
                          <w:szCs w:val="36"/>
                        </w:rPr>
                        <w:t>国 家 市 场 监 督 管 理 总 局</w:t>
                      </w:r>
                      <w:r>
                        <w:rPr>
                          <w:rFonts w:hint="eastAsia" w:ascii="黑体" w:eastAsia="黑体"/>
                          <w:b/>
                          <w:spacing w:val="2"/>
                          <w:kern w:val="0"/>
                          <w:sz w:val="28"/>
                          <w:szCs w:val="28"/>
                        </w:rPr>
                        <w:t>发  布</w:t>
                      </w:r>
                    </w:p>
                    <w:p w14:paraId="417BA599">
                      <w:pPr>
                        <w:spacing w:before="600" w:beforeLines="250" w:line="240" w:lineRule="auto"/>
                        <w:jc w:val="center"/>
                      </w:pPr>
                    </w:p>
                  </w:txbxContent>
                </v:textbox>
                <w10:anchorlock/>
              </v:shape>
            </w:pict>
          </mc:Fallback>
        </mc:AlternateContent>
      </w:r>
      <w:r>
        <w:rPr>
          <w:color w:val="000000"/>
        </w:rPr>
        <mc:AlternateContent>
          <mc:Choice Requires="wps">
            <w:drawing>
              <wp:anchor distT="0" distB="0" distL="114300" distR="114300" simplePos="0" relativeHeight="251669504" behindDoc="0" locked="1" layoutInCell="1" allowOverlap="1">
                <wp:simplePos x="0" y="0"/>
                <wp:positionH relativeFrom="page">
                  <wp:posOffset>899795</wp:posOffset>
                </wp:positionH>
                <wp:positionV relativeFrom="page">
                  <wp:posOffset>9267190</wp:posOffset>
                </wp:positionV>
                <wp:extent cx="6120130" cy="0"/>
                <wp:effectExtent l="0" t="0" r="0" b="0"/>
                <wp:wrapNone/>
                <wp:docPr id="16" name="Line 10"/>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6120130" cy="0"/>
                        </a:xfrm>
                        <a:prstGeom prst="line">
                          <a:avLst/>
                        </a:prstGeom>
                        <a:noFill/>
                        <a:ln w="12700">
                          <a:solidFill>
                            <a:srgbClr val="000000"/>
                          </a:solidFill>
                          <a:round/>
                        </a:ln>
                      </wps:spPr>
                      <wps:bodyPr/>
                    </wps:wsp>
                  </a:graphicData>
                </a:graphic>
              </wp:anchor>
            </w:drawing>
          </mc:Choice>
          <mc:Fallback>
            <w:pict>
              <v:line id="Line 10" o:spid="_x0000_s1026" o:spt="20" style="position:absolute;left:0pt;margin-left:70.85pt;margin-top:729.7pt;height:0pt;width:481.9pt;mso-position-horizontal-relative:page;mso-position-vertical-relative:page;z-index:251669504;mso-width-relative:page;mso-height-relative:page;" filled="f" stroked="t" coordsize="21600,21600" o:gfxdata="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uZRt9kAAAAOAQAADwAAAAAAAAABACAA&#10;AAAiAAAAZHJzL2Rvd25yZXYueG1sUEsBAhQAFAAAAAgAh07iQKl78A3TAQAAtQMAAA4AAAAAAAAA&#10;AQAgAAAAKAEAAGRycy9lMm9Eb2MueG1sUEsFBgAAAAAGAAYAWQEAAG0FAAAAAA==&#10;">
                <v:fill on="f" focussize="0,0"/>
                <v:stroke weight="1pt" color="#000000" joinstyle="round"/>
                <v:imagedata o:title=""/>
                <o:lock v:ext="edit" aspectratio="t"/>
                <w10:anchorlock/>
              </v:line>
            </w:pict>
          </mc:Fallback>
        </mc:AlternateContent>
      </w:r>
    </w:p>
    <w:p w14:paraId="76722BFE">
      <w:pPr>
        <w:tabs>
          <w:tab w:val="left" w:pos="860"/>
        </w:tabs>
        <w:jc w:val="left"/>
        <w:sectPr>
          <w:headerReference r:id="rId9" w:type="default"/>
          <w:footerReference r:id="rId11" w:type="default"/>
          <w:headerReference r:id="rId10" w:type="even"/>
          <w:footerReference r:id="rId12" w:type="even"/>
          <w:pgSz w:w="11906" w:h="16838"/>
          <w:pgMar w:top="567" w:right="849" w:bottom="1134" w:left="1418" w:header="0" w:footer="0" w:gutter="0"/>
          <w:pgNumType w:fmt="upperRoman" w:start="0"/>
          <w:cols w:space="720" w:num="1"/>
          <w:titlePg/>
          <w:docGrid w:linePitch="312" w:charSpace="0"/>
        </w:sectPr>
      </w:pPr>
    </w:p>
    <w:bookmarkEnd w:id="1"/>
    <w:p w14:paraId="79A1D819">
      <w:pPr>
        <w:widowControl/>
        <w:adjustRightInd/>
        <w:spacing w:line="240" w:lineRule="auto"/>
        <w:jc w:val="left"/>
        <w:rPr>
          <w:rFonts w:eastAsia="黑体"/>
          <w:color w:val="000000"/>
          <w:spacing w:val="2"/>
          <w:kern w:val="0"/>
          <w:sz w:val="24"/>
          <w:szCs w:val="24"/>
        </w:rPr>
      </w:pPr>
      <w:bookmarkStart w:id="2" w:name="mbookmark2"/>
    </w:p>
    <w:p w14:paraId="27305DDF">
      <w:pPr>
        <w:pStyle w:val="72"/>
        <w:ind w:firstLine="480"/>
        <w:rPr>
          <w:color w:val="000000"/>
        </w:rPr>
        <w:sectPr>
          <w:headerReference r:id="rId13" w:type="first"/>
          <w:type w:val="continuous"/>
          <w:pgSz w:w="11906" w:h="16838"/>
          <w:pgMar w:top="1871" w:right="1134" w:bottom="1417" w:left="1417" w:header="1417" w:footer="1077" w:gutter="0"/>
          <w:pgNumType w:fmt="upperRoman"/>
          <w:cols w:space="720" w:num="1"/>
          <w:titlePg/>
          <w:docGrid w:linePitch="312" w:charSpace="0"/>
        </w:sectPr>
      </w:pPr>
      <w:r>
        <w:rPr>
          <w:color w:val="000000"/>
        </w:rPr>
        <mc:AlternateContent>
          <mc:Choice Requires="wps">
            <w:drawing>
              <wp:anchor distT="0" distB="0" distL="114300" distR="114300" simplePos="0" relativeHeight="251668480" behindDoc="0" locked="1" layoutInCell="1" allowOverlap="1">
                <wp:simplePos x="0" y="0"/>
                <wp:positionH relativeFrom="page">
                  <wp:posOffset>566420</wp:posOffset>
                </wp:positionH>
                <wp:positionV relativeFrom="page">
                  <wp:posOffset>9172575</wp:posOffset>
                </wp:positionV>
                <wp:extent cx="6094730" cy="790575"/>
                <wp:effectExtent l="0" t="0" r="0" b="0"/>
                <wp:wrapNone/>
                <wp:docPr id="14" name="Text Box 189"/>
                <wp:cNvGraphicFramePr/>
                <a:graphic xmlns:a="http://schemas.openxmlformats.org/drawingml/2006/main">
                  <a:graphicData uri="http://schemas.microsoft.com/office/word/2010/wordprocessingShape">
                    <wps:wsp>
                      <wps:cNvSpPr txBox="1">
                        <a:spLocks noChangeArrowheads="1"/>
                      </wps:cNvSpPr>
                      <wps:spPr bwMode="auto">
                        <a:xfrm>
                          <a:off x="0" y="0"/>
                          <a:ext cx="6094730" cy="790575"/>
                        </a:xfrm>
                        <a:prstGeom prst="rect">
                          <a:avLst/>
                        </a:prstGeom>
                        <a:noFill/>
                        <a:ln>
                          <a:noFill/>
                        </a:ln>
                        <a:effectLst/>
                      </wps:spPr>
                      <wps:txbx>
                        <w:txbxContent>
                          <w:p w14:paraId="159FCC7E">
                            <w:pPr>
                              <w:pStyle w:val="72"/>
                              <w:ind w:firstLine="568"/>
                              <w:rPr>
                                <w:rFonts w:hint="eastAsia" w:ascii="宋体" w:hAnsi="宋体" w:eastAsia="宋体"/>
                                <w:sz w:val="28"/>
                              </w:rPr>
                            </w:pPr>
                            <w:r>
                              <w:rPr>
                                <w:rStyle w:val="62"/>
                                <w:rFonts w:hint="eastAsia" w:ascii="宋体" w:hAnsi="宋体" w:eastAsia="宋体"/>
                                <w:b w:val="0"/>
                              </w:rPr>
                              <w:t>本规范委托全国石油专用计量测试</w:t>
                            </w:r>
                            <w:r>
                              <w:rPr>
                                <w:rStyle w:val="51"/>
                                <w:rFonts w:hint="eastAsia" w:ascii="宋体" w:hAnsi="宋体"/>
                              </w:rPr>
                              <w:t>技术</w:t>
                            </w:r>
                            <w:r>
                              <w:rPr>
                                <w:rStyle w:val="62"/>
                                <w:rFonts w:hint="eastAsia" w:ascii="宋体" w:hAnsi="宋体" w:eastAsia="宋体"/>
                                <w:b w:val="0"/>
                              </w:rPr>
                              <w:t>委员会负责解释</w:t>
                            </w:r>
                          </w:p>
                        </w:txbxContent>
                      </wps:txbx>
                      <wps:bodyPr rot="0" vert="horz" wrap="square" lIns="91440" tIns="45720" rIns="91440" bIns="45720" anchor="t" anchorCtr="0" upright="1">
                        <a:noAutofit/>
                      </wps:bodyPr>
                    </wps:wsp>
                  </a:graphicData>
                </a:graphic>
              </wp:anchor>
            </w:drawing>
          </mc:Choice>
          <mc:Fallback>
            <w:pict>
              <v:shape id="Text Box 189" o:spid="_x0000_s1026" o:spt="202" type="#_x0000_t202" style="position:absolute;left:0pt;margin-left:44.6pt;margin-top:722.25pt;height:62.25pt;width:479.9pt;mso-position-horizontal-relative:page;mso-position-vertical-relative:page;z-index:251668480;mso-width-relative:page;mso-height-relative:page;" filled="f" stroked="f" coordsize="21600,21600" o:gfxdata="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vcBdTYAAAADQEAAA8AAAAAAAAAAQAg&#10;AAAAIgAAAGRycy9kb3ducmV2LnhtbFBLAQIUABQAAAAIAIdO4kB7T2YVDgIAACUEAAAOAAAAAAAA&#10;AAEAIAAAACcBAABkcnMvZTJvRG9jLnhtbFBLBQYAAAAABgAGAFkBAACnBQAAAAA=&#10;">
                <v:fill on="f" focussize="0,0"/>
                <v:stroke on="f"/>
                <v:imagedata o:title=""/>
                <o:lock v:ext="edit" aspectratio="f"/>
                <v:textbox>
                  <w:txbxContent>
                    <w:p w14:paraId="159FCC7E">
                      <w:pPr>
                        <w:pStyle w:val="72"/>
                        <w:ind w:firstLine="568"/>
                        <w:rPr>
                          <w:rFonts w:hint="eastAsia" w:ascii="宋体" w:hAnsi="宋体" w:eastAsia="宋体"/>
                          <w:sz w:val="28"/>
                        </w:rPr>
                      </w:pPr>
                      <w:r>
                        <w:rPr>
                          <w:rStyle w:val="62"/>
                          <w:rFonts w:hint="eastAsia" w:ascii="宋体" w:hAnsi="宋体" w:eastAsia="宋体"/>
                          <w:b w:val="0"/>
                        </w:rPr>
                        <w:t>本规范委托全国石油专用计量测试</w:t>
                      </w:r>
                      <w:r>
                        <w:rPr>
                          <w:rStyle w:val="51"/>
                          <w:rFonts w:hint="eastAsia" w:ascii="宋体" w:hAnsi="宋体"/>
                        </w:rPr>
                        <w:t>技术</w:t>
                      </w:r>
                      <w:r>
                        <w:rPr>
                          <w:rStyle w:val="62"/>
                          <w:rFonts w:hint="eastAsia" w:ascii="宋体" w:hAnsi="宋体" w:eastAsia="宋体"/>
                          <w:b w:val="0"/>
                        </w:rPr>
                        <w:t>委员会负责解释</w:t>
                      </w:r>
                    </w:p>
                  </w:txbxContent>
                </v:textbox>
                <w10:anchorlock/>
              </v:shape>
            </w:pict>
          </mc:Fallback>
        </mc:AlternateContent>
      </w:r>
      <w:r>
        <w:rPr>
          <w:color w:val="000000"/>
        </w:rPr>
        <w:drawing>
          <wp:anchor distT="0" distB="0" distL="114300" distR="114300" simplePos="0" relativeHeight="251664384" behindDoc="1" locked="1" layoutInCell="1" allowOverlap="1">
            <wp:simplePos x="0" y="0"/>
            <wp:positionH relativeFrom="page">
              <wp:posOffset>4377055</wp:posOffset>
            </wp:positionH>
            <wp:positionV relativeFrom="page">
              <wp:posOffset>1692275</wp:posOffset>
            </wp:positionV>
            <wp:extent cx="2343150" cy="790575"/>
            <wp:effectExtent l="19050" t="0" r="0" b="0"/>
            <wp:wrapNone/>
            <wp:docPr id="9" name="_x0000_s1194"/>
            <wp:cNvGraphicFramePr/>
            <a:graphic xmlns:a="http://schemas.openxmlformats.org/drawingml/2006/main">
              <a:graphicData uri="http://schemas.openxmlformats.org/drawingml/2006/picture">
                <pic:pic xmlns:pic="http://schemas.openxmlformats.org/drawingml/2006/picture">
                  <pic:nvPicPr>
                    <pic:cNvPr id="9" name="_x0000_s1194"/>
                    <pic:cNvPicPr>
                      <a:picLocks noChangeArrowheads="1"/>
                    </pic:cNvPicPr>
                  </pic:nvPicPr>
                  <pic:blipFill>
                    <a:blip r:embed="rId24"/>
                    <a:srcRect/>
                    <a:stretch>
                      <a:fillRect/>
                    </a:stretch>
                  </pic:blipFill>
                  <pic:spPr>
                    <a:xfrm>
                      <a:off x="0" y="0"/>
                      <a:ext cx="2343150" cy="790575"/>
                    </a:xfrm>
                    <a:prstGeom prst="rect">
                      <a:avLst/>
                    </a:prstGeom>
                    <a:noFill/>
                    <a:ln w="9525">
                      <a:noFill/>
                      <a:miter lim="800000"/>
                      <a:headEnd/>
                      <a:tailEnd/>
                    </a:ln>
                  </pic:spPr>
                </pic:pic>
              </a:graphicData>
            </a:graphic>
          </wp:anchor>
        </w:drawing>
      </w:r>
      <w:r>
        <w:rPr>
          <w:color w:val="000000"/>
        </w:rPr>
        <mc:AlternateContent>
          <mc:Choice Requires="wps">
            <w:drawing>
              <wp:anchor distT="0" distB="0" distL="114300" distR="114300" simplePos="0" relativeHeight="251665408" behindDoc="0" locked="1" layoutInCell="1" allowOverlap="1">
                <wp:simplePos x="0" y="0"/>
                <wp:positionH relativeFrom="page">
                  <wp:posOffset>756920</wp:posOffset>
                </wp:positionH>
                <wp:positionV relativeFrom="page">
                  <wp:posOffset>2095500</wp:posOffset>
                </wp:positionV>
                <wp:extent cx="3386455" cy="701040"/>
                <wp:effectExtent l="0" t="0" r="0" b="0"/>
                <wp:wrapNone/>
                <wp:docPr id="8" name="Text Box 147"/>
                <wp:cNvGraphicFramePr/>
                <a:graphic xmlns:a="http://schemas.openxmlformats.org/drawingml/2006/main">
                  <a:graphicData uri="http://schemas.microsoft.com/office/word/2010/wordprocessingShape">
                    <wps:wsp>
                      <wps:cNvSpPr txBox="1">
                        <a:spLocks noChangeArrowheads="1"/>
                      </wps:cNvSpPr>
                      <wps:spPr bwMode="auto">
                        <a:xfrm>
                          <a:off x="0" y="0"/>
                          <a:ext cx="3467100" cy="1044575"/>
                        </a:xfrm>
                        <a:prstGeom prst="rect">
                          <a:avLst/>
                        </a:prstGeom>
                        <a:noFill/>
                        <a:ln>
                          <a:noFill/>
                        </a:ln>
                        <a:effectLst/>
                      </wps:spPr>
                      <wps:txbx>
                        <w:txbxContent>
                          <w:p w14:paraId="51A3492D">
                            <w:pPr>
                              <w:jc w:val="center"/>
                              <w:rPr>
                                <w:rFonts w:hint="eastAsia" w:ascii="黑体" w:hAnsi="黑体" w:eastAsia="黑体"/>
                                <w:bCs/>
                                <w:sz w:val="28"/>
                                <w:szCs w:val="28"/>
                              </w:rPr>
                            </w:pPr>
                            <w:r>
                              <w:rPr>
                                <w:rFonts w:ascii="黑体" w:hAnsi="黑体" w:eastAsia="黑体"/>
                                <w:bCs/>
                                <w:sz w:val="28"/>
                                <w:szCs w:val="28"/>
                              </w:rPr>
                              <w:t xml:space="preserve">Calibration Specification </w:t>
                            </w:r>
                            <w:r>
                              <w:rPr>
                                <w:rFonts w:hint="eastAsia" w:ascii="黑体" w:hAnsi="黑体" w:eastAsia="黑体"/>
                                <w:bCs/>
                                <w:sz w:val="28"/>
                                <w:szCs w:val="28"/>
                              </w:rPr>
                              <w:t>for</w:t>
                            </w:r>
                            <w:r>
                              <w:rPr>
                                <w:rFonts w:ascii="黑体" w:hAnsi="黑体" w:eastAsia="黑体"/>
                                <w:bCs/>
                                <w:sz w:val="28"/>
                                <w:szCs w:val="28"/>
                              </w:rPr>
                              <w:t xml:space="preserve"> Analyzers for Air Release Value of Lubricants</w:t>
                            </w:r>
                          </w:p>
                        </w:txbxContent>
                      </wps:txbx>
                      <wps:bodyPr rot="0" vert="horz" wrap="square" lIns="91440" tIns="45720" rIns="91440" bIns="45720" anchor="t" anchorCtr="0" upright="1">
                        <a:noAutofit/>
                      </wps:bodyPr>
                    </wps:wsp>
                  </a:graphicData>
                </a:graphic>
              </wp:anchor>
            </w:drawing>
          </mc:Choice>
          <mc:Fallback>
            <w:pict>
              <v:shape id="Text Box 147" o:spid="_x0000_s1026" o:spt="202" type="#_x0000_t202" style="position:absolute;left:0pt;margin-left:59.6pt;margin-top:165pt;height:55.2pt;width:266.65pt;mso-position-horizontal-relative:page;mso-position-vertical-relative:page;z-index:251665408;mso-width-relative:page;mso-height-relative:page;" filled="f" stroked="f" coordsize="21600,21600" o:gfxdata="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eRHmtgAAAALAQAADwAAAAAAAAABACAA&#10;AAAiAAAAZHJzL2Rvd25yZXYueG1sUEsBAhQAFAAAAAgAh07iQCE0xRQNAgAAJQQAAA4AAAAAAAAA&#10;AQAgAAAAJwEAAGRycy9lMm9Eb2MueG1sUEsFBgAAAAAGAAYAWQEAAKYFAAAAAA==&#10;">
                <v:fill on="f" focussize="0,0"/>
                <v:stroke on="f"/>
                <v:imagedata o:title=""/>
                <o:lock v:ext="edit" aspectratio="f"/>
                <v:textbox>
                  <w:txbxContent>
                    <w:p w14:paraId="51A3492D">
                      <w:pPr>
                        <w:jc w:val="center"/>
                        <w:rPr>
                          <w:rFonts w:hint="eastAsia" w:ascii="黑体" w:hAnsi="黑体" w:eastAsia="黑体"/>
                          <w:bCs/>
                          <w:sz w:val="28"/>
                          <w:szCs w:val="28"/>
                        </w:rPr>
                      </w:pPr>
                      <w:r>
                        <w:rPr>
                          <w:rFonts w:ascii="黑体" w:hAnsi="黑体" w:eastAsia="黑体"/>
                          <w:bCs/>
                          <w:sz w:val="28"/>
                          <w:szCs w:val="28"/>
                        </w:rPr>
                        <w:t xml:space="preserve">Calibration Specification </w:t>
                      </w:r>
                      <w:r>
                        <w:rPr>
                          <w:rFonts w:hint="eastAsia" w:ascii="黑体" w:hAnsi="黑体" w:eastAsia="黑体"/>
                          <w:bCs/>
                          <w:sz w:val="28"/>
                          <w:szCs w:val="28"/>
                        </w:rPr>
                        <w:t>for</w:t>
                      </w:r>
                      <w:r>
                        <w:rPr>
                          <w:rFonts w:ascii="黑体" w:hAnsi="黑体" w:eastAsia="黑体"/>
                          <w:bCs/>
                          <w:sz w:val="28"/>
                          <w:szCs w:val="28"/>
                        </w:rPr>
                        <w:t xml:space="preserve"> Analyzers for Air Release Value of Lubricants</w:t>
                      </w:r>
                    </w:p>
                  </w:txbxContent>
                </v:textbox>
                <w10:anchorlock/>
              </v:shape>
            </w:pict>
          </mc:Fallback>
        </mc:AlternateContent>
      </w:r>
      <w:r>
        <w:rPr>
          <w:color w:val="000000"/>
        </w:rPr>
        <mc:AlternateContent>
          <mc:Choice Requires="wps">
            <w:drawing>
              <wp:anchor distT="0" distB="0" distL="114300" distR="114300" simplePos="0" relativeHeight="251663360" behindDoc="0" locked="1" layoutInCell="1" allowOverlap="1">
                <wp:simplePos x="0" y="0"/>
                <wp:positionH relativeFrom="page">
                  <wp:posOffset>699770</wp:posOffset>
                </wp:positionH>
                <wp:positionV relativeFrom="page">
                  <wp:posOffset>1303655</wp:posOffset>
                </wp:positionV>
                <wp:extent cx="3557270" cy="986790"/>
                <wp:effectExtent l="0" t="0" r="0" b="0"/>
                <wp:wrapNone/>
                <wp:docPr id="7" name="Text Box 146"/>
                <wp:cNvGraphicFramePr/>
                <a:graphic xmlns:a="http://schemas.openxmlformats.org/drawingml/2006/main">
                  <a:graphicData uri="http://schemas.microsoft.com/office/word/2010/wordprocessingShape">
                    <wps:wsp>
                      <wps:cNvSpPr txBox="1">
                        <a:spLocks noChangeArrowheads="1"/>
                      </wps:cNvSpPr>
                      <wps:spPr bwMode="auto">
                        <a:xfrm>
                          <a:off x="0" y="0"/>
                          <a:ext cx="3557270" cy="986790"/>
                        </a:xfrm>
                        <a:prstGeom prst="rect">
                          <a:avLst/>
                        </a:prstGeom>
                        <a:noFill/>
                        <a:ln>
                          <a:noFill/>
                        </a:ln>
                        <a:effectLst/>
                      </wps:spPr>
                      <wps:txbx>
                        <w:txbxContent>
                          <w:p w14:paraId="75D31801">
                            <w:pPr>
                              <w:spacing w:line="240" w:lineRule="auto"/>
                              <w:jc w:val="center"/>
                              <w:rPr>
                                <w:rFonts w:hint="eastAsia" w:ascii="黑体" w:hAnsi="黑体" w:eastAsia="黑体"/>
                                <w:sz w:val="44"/>
                                <w:szCs w:val="44"/>
                              </w:rPr>
                            </w:pPr>
                            <w:r>
                              <w:rPr>
                                <w:rFonts w:hint="eastAsia" w:ascii="黑体" w:hAnsi="黑体" w:eastAsia="黑体"/>
                                <w:sz w:val="44"/>
                                <w:szCs w:val="44"/>
                              </w:rPr>
                              <w:t>润滑油空气释放值测定仪</w:t>
                            </w:r>
                          </w:p>
                          <w:p w14:paraId="3E4CD99F">
                            <w:pPr>
                              <w:spacing w:line="240" w:lineRule="auto"/>
                              <w:jc w:val="center"/>
                              <w:rPr>
                                <w:sz w:val="44"/>
                                <w:szCs w:val="44"/>
                              </w:rPr>
                            </w:pPr>
                            <w:r>
                              <w:rPr>
                                <w:rFonts w:hint="eastAsia" w:ascii="黑体" w:hAnsi="黑体" w:eastAsia="黑体"/>
                                <w:sz w:val="44"/>
                                <w:szCs w:val="44"/>
                              </w:rPr>
                              <w:t>校准规范</w:t>
                            </w:r>
                          </w:p>
                        </w:txbxContent>
                      </wps:txbx>
                      <wps:bodyPr rot="0" vert="horz" wrap="square" lIns="91440" tIns="45720" rIns="91440" bIns="45720" anchor="t" anchorCtr="0" upright="1">
                        <a:noAutofit/>
                      </wps:bodyPr>
                    </wps:wsp>
                  </a:graphicData>
                </a:graphic>
              </wp:anchor>
            </w:drawing>
          </mc:Choice>
          <mc:Fallback>
            <w:pict>
              <v:shape id="Text Box 146" o:spid="_x0000_s1026" o:spt="202" type="#_x0000_t202" style="position:absolute;left:0pt;margin-left:55.1pt;margin-top:102.65pt;height:77.7pt;width:280.1pt;mso-position-horizontal-relative:page;mso-position-vertical-relative:page;z-index:251663360;mso-width-relative:page;mso-height-relative:page;" filled="f" stroked="f" coordsize="21600,21600" o:gfxdata="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miY9gAAAALAQAADwAAAAAAAAABACAA&#10;AAAiAAAAZHJzL2Rvd25yZXYueG1sUEsBAhQAFAAAAAgAh07iQBDCtyENAgAAJAQAAA4AAAAAAAAA&#10;AQAgAAAAJwEAAGRycy9lMm9Eb2MueG1sUEsFBgAAAAAGAAYAWQEAAKYFAAAAAA==&#10;">
                <v:fill on="f" focussize="0,0"/>
                <v:stroke on="f"/>
                <v:imagedata o:title=""/>
                <o:lock v:ext="edit" aspectratio="f"/>
                <v:textbox>
                  <w:txbxContent>
                    <w:p w14:paraId="75D31801">
                      <w:pPr>
                        <w:spacing w:line="240" w:lineRule="auto"/>
                        <w:jc w:val="center"/>
                        <w:rPr>
                          <w:rFonts w:hint="eastAsia" w:ascii="黑体" w:hAnsi="黑体" w:eastAsia="黑体"/>
                          <w:sz w:val="44"/>
                          <w:szCs w:val="44"/>
                        </w:rPr>
                      </w:pPr>
                      <w:r>
                        <w:rPr>
                          <w:rFonts w:hint="eastAsia" w:ascii="黑体" w:hAnsi="黑体" w:eastAsia="黑体"/>
                          <w:sz w:val="44"/>
                          <w:szCs w:val="44"/>
                        </w:rPr>
                        <w:t>润滑油空气释放值测定仪</w:t>
                      </w:r>
                    </w:p>
                    <w:p w14:paraId="3E4CD99F">
                      <w:pPr>
                        <w:spacing w:line="240" w:lineRule="auto"/>
                        <w:jc w:val="center"/>
                        <w:rPr>
                          <w:sz w:val="44"/>
                          <w:szCs w:val="44"/>
                        </w:rPr>
                      </w:pPr>
                      <w:r>
                        <w:rPr>
                          <w:rFonts w:hint="eastAsia" w:ascii="黑体" w:hAnsi="黑体" w:eastAsia="黑体"/>
                          <w:sz w:val="44"/>
                          <w:szCs w:val="44"/>
                        </w:rPr>
                        <w:t>校准规范</w:t>
                      </w:r>
                    </w:p>
                  </w:txbxContent>
                </v:textbox>
                <w10:anchorlock/>
              </v:shape>
            </w:pict>
          </mc:Fallback>
        </mc:AlternateContent>
      </w:r>
      <w:r>
        <w:rPr>
          <w:color w:val="000000"/>
        </w:rPr>
        <mc:AlternateContent>
          <mc:Choice Requires="wps">
            <w:drawing>
              <wp:anchor distT="0" distB="0" distL="114300" distR="114300" simplePos="0" relativeHeight="251666432" behindDoc="0" locked="1" layoutInCell="1" allowOverlap="1">
                <wp:simplePos x="0" y="0"/>
                <wp:positionH relativeFrom="page">
                  <wp:posOffset>4300220</wp:posOffset>
                </wp:positionH>
                <wp:positionV relativeFrom="page">
                  <wp:posOffset>1884045</wp:posOffset>
                </wp:positionV>
                <wp:extent cx="2466975" cy="424815"/>
                <wp:effectExtent l="0" t="0" r="0" b="0"/>
                <wp:wrapNone/>
                <wp:docPr id="10" name="Text Box 151"/>
                <wp:cNvGraphicFramePr/>
                <a:graphic xmlns:a="http://schemas.openxmlformats.org/drawingml/2006/main">
                  <a:graphicData uri="http://schemas.microsoft.com/office/word/2010/wordprocessingShape">
                    <wps:wsp>
                      <wps:cNvSpPr txBox="1">
                        <a:spLocks noChangeArrowheads="1"/>
                      </wps:cNvSpPr>
                      <wps:spPr bwMode="auto">
                        <a:xfrm>
                          <a:off x="0" y="0"/>
                          <a:ext cx="2466975" cy="424815"/>
                        </a:xfrm>
                        <a:prstGeom prst="rect">
                          <a:avLst/>
                        </a:prstGeom>
                        <a:noFill/>
                        <a:ln>
                          <a:noFill/>
                        </a:ln>
                        <a:effectLst/>
                      </wps:spPr>
                      <wps:txbx>
                        <w:txbxContent>
                          <w:p w14:paraId="77B2D3FA">
                            <w:pPr>
                              <w:spacing w:line="240" w:lineRule="auto"/>
                              <w:jc w:val="center"/>
                              <w:rPr>
                                <w:rFonts w:hint="eastAsia" w:ascii="黑体" w:hAnsi="黑体" w:eastAsia="黑体"/>
                                <w:sz w:val="28"/>
                                <w:szCs w:val="28"/>
                              </w:rPr>
                            </w:pPr>
                            <w:r>
                              <w:rPr>
                                <w:rStyle w:val="55"/>
                                <w:rFonts w:ascii="黑体" w:hAnsi="黑体" w:eastAsia="黑体"/>
                                <w:b/>
                                <w:sz w:val="28"/>
                                <w:szCs w:val="28"/>
                              </w:rPr>
                              <w:t xml:space="preserve">JJF </w:t>
                            </w:r>
                            <w:r>
                              <w:rPr>
                                <w:rStyle w:val="55"/>
                                <w:rFonts w:ascii="黑体" w:hAnsi="黑体" w:eastAsia="黑体"/>
                                <w:sz w:val="28"/>
                                <w:szCs w:val="28"/>
                              </w:rPr>
                              <w:t>XXXX—XXXX</w:t>
                            </w:r>
                          </w:p>
                        </w:txbxContent>
                      </wps:txbx>
                      <wps:bodyPr rot="0" vert="horz" wrap="square" lIns="91440" tIns="45720" rIns="91440" bIns="45720" anchor="t" anchorCtr="0" upright="1">
                        <a:noAutofit/>
                      </wps:bodyPr>
                    </wps:wsp>
                  </a:graphicData>
                </a:graphic>
              </wp:anchor>
            </w:drawing>
          </mc:Choice>
          <mc:Fallback>
            <w:pict>
              <v:shape id="Text Box 151" o:spid="_x0000_s1026" o:spt="202" type="#_x0000_t202" style="position:absolute;left:0pt;margin-left:338.6pt;margin-top:148.35pt;height:33.45pt;width:194.25pt;mso-position-horizontal-relative:page;mso-position-vertical-relative:page;z-index:251666432;mso-width-relative:page;mso-height-relative:page;" filled="f" stroked="f" coordsize="21600,21600" o:gfxdata="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hUPhPZAAAADAEAAA8AAAAAAAAAAQAg&#10;AAAAIgAAAGRycy9kb3ducmV2LnhtbFBLAQIUABQAAAAIAIdO4kC5VLm2DQIAACUEAAAOAAAAAAAA&#10;AAEAIAAAACgBAABkcnMvZTJvRG9jLnhtbFBLBQYAAAAABgAGAFkBAACnBQAAAAA=&#10;">
                <v:fill on="f" focussize="0,0"/>
                <v:stroke on="f"/>
                <v:imagedata o:title=""/>
                <o:lock v:ext="edit" aspectratio="f"/>
                <v:textbox>
                  <w:txbxContent>
                    <w:p w14:paraId="77B2D3FA">
                      <w:pPr>
                        <w:spacing w:line="240" w:lineRule="auto"/>
                        <w:jc w:val="center"/>
                        <w:rPr>
                          <w:rFonts w:hint="eastAsia" w:ascii="黑体" w:hAnsi="黑体" w:eastAsia="黑体"/>
                          <w:sz w:val="28"/>
                          <w:szCs w:val="28"/>
                        </w:rPr>
                      </w:pPr>
                      <w:r>
                        <w:rPr>
                          <w:rStyle w:val="55"/>
                          <w:rFonts w:ascii="黑体" w:hAnsi="黑体" w:eastAsia="黑体"/>
                          <w:b/>
                          <w:sz w:val="28"/>
                          <w:szCs w:val="28"/>
                        </w:rPr>
                        <w:t xml:space="preserve">JJF </w:t>
                      </w:r>
                      <w:r>
                        <w:rPr>
                          <w:rStyle w:val="55"/>
                          <w:rFonts w:ascii="黑体" w:hAnsi="黑体" w:eastAsia="黑体"/>
                          <w:sz w:val="28"/>
                          <w:szCs w:val="28"/>
                        </w:rPr>
                        <w:t>XXXX—XXXX</w:t>
                      </w:r>
                    </w:p>
                  </w:txbxContent>
                </v:textbox>
                <w10:anchorlock/>
              </v:shape>
            </w:pict>
          </mc:Fallback>
        </mc:AlternateContent>
      </w:r>
      <w:r>
        <w:rPr>
          <w:color w:val="000000"/>
        </w:rPr>
        <mc:AlternateContent>
          <mc:Choice Requires="wps">
            <w:drawing>
              <wp:anchor distT="0" distB="0" distL="114300" distR="114300" simplePos="0" relativeHeight="251662336" behindDoc="0" locked="1" layoutInCell="1" allowOverlap="1">
                <wp:simplePos x="0" y="0"/>
                <wp:positionH relativeFrom="page">
                  <wp:posOffset>892810</wp:posOffset>
                </wp:positionH>
                <wp:positionV relativeFrom="page">
                  <wp:posOffset>2788920</wp:posOffset>
                </wp:positionV>
                <wp:extent cx="5943600" cy="0"/>
                <wp:effectExtent l="0" t="0" r="0" b="0"/>
                <wp:wrapNone/>
                <wp:docPr id="11" name="Line 11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5943600" cy="0"/>
                        </a:xfrm>
                        <a:prstGeom prst="line">
                          <a:avLst/>
                        </a:prstGeom>
                        <a:noFill/>
                        <a:ln w="12700">
                          <a:solidFill>
                            <a:srgbClr val="000000"/>
                          </a:solidFill>
                          <a:round/>
                        </a:ln>
                        <a:effectLst/>
                      </wps:spPr>
                      <wps:bodyPr/>
                    </wps:wsp>
                  </a:graphicData>
                </a:graphic>
              </wp:anchor>
            </w:drawing>
          </mc:Choice>
          <mc:Fallback>
            <w:pict>
              <v:line id="Line 116" o:spid="_x0000_s1026" o:spt="20" style="position:absolute;left:0pt;margin-left:70.3pt;margin-top:219.6pt;height:0pt;width:468pt;mso-position-horizontal-relative:page;mso-position-vertical-relative:page;z-index:251662336;mso-width-relative:page;mso-height-relative:page;" filled="f" stroked="t" coordsize="21600,21600" o:gfxdata="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enNvLZAAAADAEAAA8AAAAAAAAA&#10;AQAgAAAAIgAAAGRycy9kb3ducmV2LnhtbFBLAQIUABQAAAAIAIdO4kDvgChi1wEAAMQDAAAOAAAA&#10;AAAAAAEAIAAAACgBAABkcnMvZTJvRG9jLnhtbFBLBQYAAAAABgAGAFkBAABxBQAAAAA=&#10;">
                <v:fill on="f" focussize="0,0"/>
                <v:stroke weight="1pt" color="#000000" joinstyle="round"/>
                <v:imagedata o:title=""/>
                <o:lock v:ext="edit" aspectratio="t"/>
                <w10:anchorlock/>
              </v:line>
            </w:pict>
          </mc:Fallback>
        </mc:AlternateContent>
      </w:r>
      <w:r>
        <w:rPr>
          <w:color w:val="000000"/>
        </w:rPr>
        <mc:AlternateContent>
          <mc:Choice Requires="wps">
            <w:drawing>
              <wp:anchor distT="0" distB="0" distL="114300" distR="114300" simplePos="0" relativeHeight="251667456" behindDoc="0" locked="1" layoutInCell="1" allowOverlap="1">
                <wp:simplePos x="0" y="0"/>
                <wp:positionH relativeFrom="page">
                  <wp:posOffset>889000</wp:posOffset>
                </wp:positionH>
                <wp:positionV relativeFrom="page">
                  <wp:posOffset>4527550</wp:posOffset>
                </wp:positionV>
                <wp:extent cx="6094730" cy="2609850"/>
                <wp:effectExtent l="0" t="0" r="0" b="0"/>
                <wp:wrapNone/>
                <wp:docPr id="12" name="Text Box 152"/>
                <wp:cNvGraphicFramePr/>
                <a:graphic xmlns:a="http://schemas.openxmlformats.org/drawingml/2006/main">
                  <a:graphicData uri="http://schemas.microsoft.com/office/word/2010/wordprocessingShape">
                    <wps:wsp>
                      <wps:cNvSpPr txBox="1">
                        <a:spLocks noChangeArrowheads="1"/>
                      </wps:cNvSpPr>
                      <wps:spPr bwMode="auto">
                        <a:xfrm>
                          <a:off x="0" y="0"/>
                          <a:ext cx="6094730" cy="2609850"/>
                        </a:xfrm>
                        <a:prstGeom prst="rect">
                          <a:avLst/>
                        </a:prstGeom>
                        <a:noFill/>
                        <a:ln>
                          <a:noFill/>
                        </a:ln>
                        <a:effectLst/>
                      </wps:spPr>
                      <wps:txbx>
                        <w:txbxContent>
                          <w:p w14:paraId="64534AEE">
                            <w:pPr>
                              <w:pStyle w:val="72"/>
                              <w:keepNext w:val="0"/>
                              <w:keepLines w:val="0"/>
                              <w:pageBreakBefore w:val="0"/>
                              <w:widowControl/>
                              <w:kinsoku/>
                              <w:wordWrap/>
                              <w:overflowPunct/>
                              <w:topLinePunct w:val="0"/>
                              <w:bidi w:val="0"/>
                              <w:adjustRightInd/>
                              <w:snapToGrid/>
                              <w:ind w:firstLine="568" w:firstLineChars="200"/>
                              <w:textAlignment w:val="auto"/>
                              <w:rPr>
                                <w:rStyle w:val="62"/>
                                <w:b w:val="0"/>
                              </w:rPr>
                            </w:pPr>
                            <w:r>
                              <w:rPr>
                                <w:rStyle w:val="62"/>
                                <w:rFonts w:hint="eastAsia"/>
                                <w:b w:val="0"/>
                              </w:rPr>
                              <w:t>归口单位：</w:t>
                            </w:r>
                            <w:r>
                              <w:rPr>
                                <w:rStyle w:val="62"/>
                                <w:rFonts w:hint="eastAsia"/>
                                <w:b w:val="0"/>
                              </w:rPr>
                              <w:t>全国石油专用计量测试技术委员会</w:t>
                            </w:r>
                          </w:p>
                          <w:p w14:paraId="6A6E7B81">
                            <w:pPr>
                              <w:pStyle w:val="72"/>
                              <w:ind w:firstLine="568"/>
                              <w:rPr>
                                <w:rStyle w:val="51"/>
                                <w:rFonts w:hint="eastAsia" w:ascii="黑体" w:hAnsi="黑体" w:eastAsia="黑体"/>
                              </w:rPr>
                            </w:pPr>
                            <w:r>
                              <w:rPr>
                                <w:rStyle w:val="62"/>
                                <w:rFonts w:hint="eastAsia"/>
                                <w:b w:val="0"/>
                              </w:rPr>
                              <w:t>主要起草单位：</w:t>
                            </w:r>
                            <w:r>
                              <w:rPr>
                                <w:rStyle w:val="51"/>
                                <w:rFonts w:hint="eastAsia" w:ascii="黑体" w:hAnsi="黑体" w:eastAsia="黑体"/>
                              </w:rPr>
                              <w:t>浙江省质量科学研究院</w:t>
                            </w:r>
                          </w:p>
                          <w:p w14:paraId="2B84E50C">
                            <w:pPr>
                              <w:pStyle w:val="72"/>
                              <w:ind w:firstLine="568"/>
                              <w:rPr>
                                <w:rStyle w:val="51"/>
                                <w:rFonts w:hint="eastAsia" w:ascii="黑体" w:hAnsi="黑体" w:eastAsia="黑体"/>
                                <w:szCs w:val="20"/>
                              </w:rPr>
                            </w:pPr>
                            <w:r>
                              <w:rPr>
                                <w:rStyle w:val="51"/>
                                <w:rFonts w:ascii="黑体" w:hAnsi="黑体" w:eastAsia="黑体"/>
                              </w:rPr>
                              <w:t xml:space="preserve">              </w:t>
                            </w:r>
                            <w:r>
                              <w:rPr>
                                <w:rStyle w:val="51"/>
                                <w:rFonts w:hint="eastAsia" w:ascii="黑体" w:hAnsi="黑体" w:eastAsia="黑体"/>
                                <w:szCs w:val="20"/>
                              </w:rPr>
                              <w:t>宁波市计量测试研究院</w:t>
                            </w:r>
                          </w:p>
                          <w:p w14:paraId="6B4198A1">
                            <w:pPr>
                              <w:pStyle w:val="72"/>
                              <w:ind w:firstLine="2556" w:firstLineChars="900"/>
                              <w:rPr>
                                <w:rStyle w:val="51"/>
                                <w:rFonts w:hint="eastAsia" w:ascii="黑体" w:hAnsi="黑体" w:eastAsia="黑体"/>
                                <w:szCs w:val="20"/>
                              </w:rPr>
                            </w:pPr>
                            <w:r>
                              <w:rPr>
                                <w:rStyle w:val="51"/>
                                <w:rFonts w:hint="eastAsia" w:ascii="黑体" w:hAnsi="黑体" w:eastAsia="黑体"/>
                                <w:szCs w:val="20"/>
                              </w:rPr>
                              <w:t>中国石油化工集团有限公司胜利油田分公司</w:t>
                            </w:r>
                          </w:p>
                          <w:p w14:paraId="3D150C7D">
                            <w:pPr>
                              <w:pStyle w:val="72"/>
                              <w:ind w:firstLine="568"/>
                              <w:rPr>
                                <w:rStyle w:val="51"/>
                                <w:rFonts w:hint="eastAsia" w:ascii="黑体" w:hAnsi="黑体" w:eastAsia="黑体"/>
                                <w:szCs w:val="20"/>
                              </w:rPr>
                            </w:pPr>
                            <w:r>
                              <w:rPr>
                                <w:rStyle w:val="62"/>
                                <w:rFonts w:hint="eastAsia"/>
                                <w:b w:val="0"/>
                              </w:rPr>
                              <w:t>参加起草单位：</w:t>
                            </w:r>
                            <w:r>
                              <w:rPr>
                                <w:rStyle w:val="51"/>
                                <w:rFonts w:hint="eastAsia" w:ascii="黑体" w:hAnsi="黑体" w:eastAsia="黑体"/>
                                <w:szCs w:val="20"/>
                              </w:rPr>
                              <w:t>辽宁省计量科学研究院</w:t>
                            </w:r>
                          </w:p>
                          <w:p w14:paraId="6B8CE3FC">
                            <w:pPr>
                              <w:pStyle w:val="72"/>
                              <w:ind w:firstLine="2556" w:firstLineChars="900"/>
                              <w:rPr>
                                <w:rStyle w:val="51"/>
                                <w:rFonts w:hint="eastAsia" w:ascii="黑体" w:hAnsi="黑体" w:eastAsia="黑体"/>
                                <w:szCs w:val="20"/>
                              </w:rPr>
                            </w:pPr>
                            <w:r>
                              <w:rPr>
                                <w:rStyle w:val="51"/>
                                <w:rFonts w:ascii="黑体" w:hAnsi="黑体" w:eastAsia="黑体"/>
                                <w:szCs w:val="20"/>
                              </w:rPr>
                              <w:t>山东</w:t>
                            </w:r>
                            <w:r>
                              <w:rPr>
                                <w:rStyle w:val="51"/>
                                <w:rFonts w:hint="eastAsia" w:ascii="黑体" w:hAnsi="黑体" w:eastAsia="黑体"/>
                                <w:szCs w:val="20"/>
                              </w:rPr>
                              <w:t>省计量科学研究院</w:t>
                            </w:r>
                          </w:p>
                          <w:p w14:paraId="0C70DF67">
                            <w:pPr>
                              <w:pStyle w:val="72"/>
                              <w:ind w:firstLine="2556" w:firstLineChars="900"/>
                              <w:rPr>
                                <w:rStyle w:val="51"/>
                                <w:rFonts w:hint="eastAsia" w:ascii="黑体" w:hAnsi="黑体" w:eastAsia="黑体"/>
                              </w:rPr>
                            </w:pPr>
                            <w:r>
                              <w:rPr>
                                <w:rStyle w:val="51"/>
                                <w:rFonts w:hint="eastAsia" w:ascii="黑体" w:hAnsi="黑体" w:eastAsia="黑体"/>
                              </w:rPr>
                              <w:t>浙江中智检测技术有限公司</w:t>
                            </w:r>
                          </w:p>
                          <w:p w14:paraId="17132CD1">
                            <w:pPr>
                              <w:pStyle w:val="72"/>
                              <w:ind w:firstLine="568"/>
                              <w:rPr>
                                <w:rStyle w:val="51"/>
                                <w:rFonts w:hint="eastAsia" w:ascii="黑体" w:hAnsi="黑体" w:eastAsia="黑体"/>
                              </w:rPr>
                            </w:pPr>
                          </w:p>
                          <w:p w14:paraId="55AB018D">
                            <w:pPr>
                              <w:pStyle w:val="72"/>
                              <w:ind w:firstLine="568"/>
                              <w:rPr>
                                <w:rStyle w:val="51"/>
                              </w:rPr>
                            </w:pPr>
                          </w:p>
                          <w:p w14:paraId="1C675DD5">
                            <w:pPr>
                              <w:pStyle w:val="72"/>
                              <w:ind w:firstLine="568"/>
                              <w:rPr>
                                <w:rStyle w:val="51"/>
                                <w:rFonts w:hint="eastAsia" w:ascii="黑体" w:hAnsi="黑体" w:eastAsia="黑体"/>
                              </w:rPr>
                            </w:pPr>
                          </w:p>
                        </w:txbxContent>
                      </wps:txbx>
                      <wps:bodyPr rot="0" vert="horz" wrap="square" lIns="91440" tIns="45720" rIns="91440" bIns="45720" anchor="t" anchorCtr="0" upright="1">
                        <a:noAutofit/>
                      </wps:bodyPr>
                    </wps:wsp>
                  </a:graphicData>
                </a:graphic>
              </wp:anchor>
            </w:drawing>
          </mc:Choice>
          <mc:Fallback>
            <w:pict>
              <v:shape id="Text Box 152" o:spid="_x0000_s1026" o:spt="202" type="#_x0000_t202" style="position:absolute;left:0pt;margin-left:70pt;margin-top:356.5pt;height:205.5pt;width:479.9pt;mso-position-horizontal-relative:page;mso-position-vertical-relative:page;z-index:251667456;mso-width-relative:page;mso-height-relative:page;" filled="f" stroked="f" coordsize="21600,21600" o:gfxdata="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K/hknYAAAADQEAAA8AAAAAAAAAAQAg&#10;AAAAIgAAAGRycy9kb3ducmV2LnhtbFBLAQIUABQAAAAIAIdO4kCL+JKrDgIAACYEAAAOAAAAAAAA&#10;AAEAIAAAACcBAABkcnMvZTJvRG9jLnhtbFBLBQYAAAAABgAGAFkBAACnBQAAAAA=&#10;">
                <v:fill on="f" focussize="0,0"/>
                <v:stroke on="f"/>
                <v:imagedata o:title=""/>
                <o:lock v:ext="edit" aspectratio="f"/>
                <v:textbox>
                  <w:txbxContent>
                    <w:p w14:paraId="64534AEE">
                      <w:pPr>
                        <w:pStyle w:val="72"/>
                        <w:keepNext w:val="0"/>
                        <w:keepLines w:val="0"/>
                        <w:pageBreakBefore w:val="0"/>
                        <w:widowControl/>
                        <w:kinsoku/>
                        <w:wordWrap/>
                        <w:overflowPunct/>
                        <w:topLinePunct w:val="0"/>
                        <w:bidi w:val="0"/>
                        <w:adjustRightInd/>
                        <w:snapToGrid/>
                        <w:ind w:firstLine="568" w:firstLineChars="200"/>
                        <w:textAlignment w:val="auto"/>
                        <w:rPr>
                          <w:rStyle w:val="62"/>
                          <w:b w:val="0"/>
                        </w:rPr>
                      </w:pPr>
                      <w:r>
                        <w:rPr>
                          <w:rStyle w:val="62"/>
                          <w:rFonts w:hint="eastAsia"/>
                          <w:b w:val="0"/>
                        </w:rPr>
                        <w:t>归口单位：</w:t>
                      </w:r>
                      <w:r>
                        <w:rPr>
                          <w:rStyle w:val="62"/>
                          <w:rFonts w:hint="eastAsia"/>
                          <w:b w:val="0"/>
                        </w:rPr>
                        <w:t>全国石油专用计量测试技术委员会</w:t>
                      </w:r>
                    </w:p>
                    <w:p w14:paraId="6A6E7B81">
                      <w:pPr>
                        <w:pStyle w:val="72"/>
                        <w:ind w:firstLine="568"/>
                        <w:rPr>
                          <w:rStyle w:val="51"/>
                          <w:rFonts w:hint="eastAsia" w:ascii="黑体" w:hAnsi="黑体" w:eastAsia="黑体"/>
                        </w:rPr>
                      </w:pPr>
                      <w:r>
                        <w:rPr>
                          <w:rStyle w:val="62"/>
                          <w:rFonts w:hint="eastAsia"/>
                          <w:b w:val="0"/>
                        </w:rPr>
                        <w:t>主要起草单位：</w:t>
                      </w:r>
                      <w:r>
                        <w:rPr>
                          <w:rStyle w:val="51"/>
                          <w:rFonts w:hint="eastAsia" w:ascii="黑体" w:hAnsi="黑体" w:eastAsia="黑体"/>
                        </w:rPr>
                        <w:t>浙江省质量科学研究院</w:t>
                      </w:r>
                    </w:p>
                    <w:p w14:paraId="2B84E50C">
                      <w:pPr>
                        <w:pStyle w:val="72"/>
                        <w:ind w:firstLine="568"/>
                        <w:rPr>
                          <w:rStyle w:val="51"/>
                          <w:rFonts w:hint="eastAsia" w:ascii="黑体" w:hAnsi="黑体" w:eastAsia="黑体"/>
                          <w:szCs w:val="20"/>
                        </w:rPr>
                      </w:pPr>
                      <w:r>
                        <w:rPr>
                          <w:rStyle w:val="51"/>
                          <w:rFonts w:ascii="黑体" w:hAnsi="黑体" w:eastAsia="黑体"/>
                        </w:rPr>
                        <w:t xml:space="preserve">              </w:t>
                      </w:r>
                      <w:r>
                        <w:rPr>
                          <w:rStyle w:val="51"/>
                          <w:rFonts w:hint="eastAsia" w:ascii="黑体" w:hAnsi="黑体" w:eastAsia="黑体"/>
                          <w:szCs w:val="20"/>
                        </w:rPr>
                        <w:t>宁波市计量测试研究院</w:t>
                      </w:r>
                    </w:p>
                    <w:p w14:paraId="6B4198A1">
                      <w:pPr>
                        <w:pStyle w:val="72"/>
                        <w:ind w:firstLine="2556" w:firstLineChars="900"/>
                        <w:rPr>
                          <w:rStyle w:val="51"/>
                          <w:rFonts w:hint="eastAsia" w:ascii="黑体" w:hAnsi="黑体" w:eastAsia="黑体"/>
                          <w:szCs w:val="20"/>
                        </w:rPr>
                      </w:pPr>
                      <w:r>
                        <w:rPr>
                          <w:rStyle w:val="51"/>
                          <w:rFonts w:hint="eastAsia" w:ascii="黑体" w:hAnsi="黑体" w:eastAsia="黑体"/>
                          <w:szCs w:val="20"/>
                        </w:rPr>
                        <w:t>中国石油化工集团有限公司胜利油田分公司</w:t>
                      </w:r>
                    </w:p>
                    <w:p w14:paraId="3D150C7D">
                      <w:pPr>
                        <w:pStyle w:val="72"/>
                        <w:ind w:firstLine="568"/>
                        <w:rPr>
                          <w:rStyle w:val="51"/>
                          <w:rFonts w:hint="eastAsia" w:ascii="黑体" w:hAnsi="黑体" w:eastAsia="黑体"/>
                          <w:szCs w:val="20"/>
                        </w:rPr>
                      </w:pPr>
                      <w:r>
                        <w:rPr>
                          <w:rStyle w:val="62"/>
                          <w:rFonts w:hint="eastAsia"/>
                          <w:b w:val="0"/>
                        </w:rPr>
                        <w:t>参加起草单位：</w:t>
                      </w:r>
                      <w:r>
                        <w:rPr>
                          <w:rStyle w:val="51"/>
                          <w:rFonts w:hint="eastAsia" w:ascii="黑体" w:hAnsi="黑体" w:eastAsia="黑体"/>
                          <w:szCs w:val="20"/>
                        </w:rPr>
                        <w:t>辽宁省计量科学研究院</w:t>
                      </w:r>
                    </w:p>
                    <w:p w14:paraId="6B8CE3FC">
                      <w:pPr>
                        <w:pStyle w:val="72"/>
                        <w:ind w:firstLine="2556" w:firstLineChars="900"/>
                        <w:rPr>
                          <w:rStyle w:val="51"/>
                          <w:rFonts w:hint="eastAsia" w:ascii="黑体" w:hAnsi="黑体" w:eastAsia="黑体"/>
                          <w:szCs w:val="20"/>
                        </w:rPr>
                      </w:pPr>
                      <w:r>
                        <w:rPr>
                          <w:rStyle w:val="51"/>
                          <w:rFonts w:ascii="黑体" w:hAnsi="黑体" w:eastAsia="黑体"/>
                          <w:szCs w:val="20"/>
                        </w:rPr>
                        <w:t>山东</w:t>
                      </w:r>
                      <w:r>
                        <w:rPr>
                          <w:rStyle w:val="51"/>
                          <w:rFonts w:hint="eastAsia" w:ascii="黑体" w:hAnsi="黑体" w:eastAsia="黑体"/>
                          <w:szCs w:val="20"/>
                        </w:rPr>
                        <w:t>省计量科学研究院</w:t>
                      </w:r>
                    </w:p>
                    <w:p w14:paraId="0C70DF67">
                      <w:pPr>
                        <w:pStyle w:val="72"/>
                        <w:ind w:firstLine="2556" w:firstLineChars="900"/>
                        <w:rPr>
                          <w:rStyle w:val="51"/>
                          <w:rFonts w:hint="eastAsia" w:ascii="黑体" w:hAnsi="黑体" w:eastAsia="黑体"/>
                        </w:rPr>
                      </w:pPr>
                      <w:r>
                        <w:rPr>
                          <w:rStyle w:val="51"/>
                          <w:rFonts w:hint="eastAsia" w:ascii="黑体" w:hAnsi="黑体" w:eastAsia="黑体"/>
                        </w:rPr>
                        <w:t>浙江中智检测技术有限公司</w:t>
                      </w:r>
                    </w:p>
                    <w:p w14:paraId="17132CD1">
                      <w:pPr>
                        <w:pStyle w:val="72"/>
                        <w:ind w:firstLine="568"/>
                        <w:rPr>
                          <w:rStyle w:val="51"/>
                          <w:rFonts w:hint="eastAsia" w:ascii="黑体" w:hAnsi="黑体" w:eastAsia="黑体"/>
                        </w:rPr>
                      </w:pPr>
                    </w:p>
                    <w:p w14:paraId="55AB018D">
                      <w:pPr>
                        <w:pStyle w:val="72"/>
                        <w:ind w:firstLine="568"/>
                        <w:rPr>
                          <w:rStyle w:val="51"/>
                        </w:rPr>
                      </w:pPr>
                    </w:p>
                    <w:p w14:paraId="1C675DD5">
                      <w:pPr>
                        <w:pStyle w:val="72"/>
                        <w:ind w:firstLine="568"/>
                        <w:rPr>
                          <w:rStyle w:val="51"/>
                          <w:rFonts w:hint="eastAsia" w:ascii="黑体" w:hAnsi="黑体" w:eastAsia="黑体"/>
                        </w:rPr>
                      </w:pPr>
                    </w:p>
                  </w:txbxContent>
                </v:textbox>
                <w10:anchorlock/>
              </v:shape>
            </w:pict>
          </mc:Fallback>
        </mc:AlternateContent>
      </w:r>
    </w:p>
    <w:bookmarkEnd w:id="2"/>
    <w:p w14:paraId="125F2E45">
      <w:pPr>
        <w:pStyle w:val="131"/>
        <w:spacing w:before="0" w:after="0" w:line="240" w:lineRule="auto"/>
        <w:jc w:val="left"/>
        <w:outlineLvl w:val="9"/>
        <w:rPr>
          <w:rFonts w:ascii="Times New Roman"/>
          <w:color w:val="000000"/>
          <w:sz w:val="28"/>
          <w:szCs w:val="28"/>
        </w:rPr>
      </w:pPr>
      <w:bookmarkStart w:id="3" w:name="mbookmark4"/>
    </w:p>
    <w:p w14:paraId="687EB560">
      <w:pPr>
        <w:pStyle w:val="72"/>
        <w:ind w:firstLine="428"/>
        <w:rPr>
          <w:sz w:val="21"/>
          <w:szCs w:val="20"/>
        </w:rPr>
      </w:pPr>
    </w:p>
    <w:p w14:paraId="60011970">
      <w:pPr>
        <w:pStyle w:val="72"/>
        <w:ind w:firstLine="208"/>
        <w:rPr>
          <w:sz w:val="10"/>
          <w:szCs w:val="10"/>
        </w:rPr>
      </w:pPr>
    </w:p>
    <w:p w14:paraId="2539B74E">
      <w:pPr>
        <w:pStyle w:val="72"/>
        <w:ind w:firstLine="208"/>
        <w:rPr>
          <w:sz w:val="10"/>
          <w:szCs w:val="10"/>
        </w:rPr>
      </w:pPr>
    </w:p>
    <w:p w14:paraId="3239E81B">
      <w:pPr>
        <w:pStyle w:val="72"/>
        <w:ind w:firstLine="208"/>
        <w:rPr>
          <w:sz w:val="10"/>
          <w:szCs w:val="10"/>
        </w:rPr>
      </w:pPr>
    </w:p>
    <w:p w14:paraId="728A1332">
      <w:pPr>
        <w:pStyle w:val="72"/>
        <w:ind w:firstLine="852" w:firstLineChars="300"/>
        <w:rPr>
          <w:rStyle w:val="64"/>
          <w:szCs w:val="28"/>
        </w:rPr>
      </w:pPr>
      <w:r>
        <w:rPr>
          <w:rStyle w:val="64"/>
          <w:rFonts w:hint="eastAsia"/>
          <w:szCs w:val="28"/>
        </w:rPr>
        <w:t>本规范主要起草人：</w:t>
      </w:r>
    </w:p>
    <w:p w14:paraId="2C663C49">
      <w:pPr>
        <w:pStyle w:val="85"/>
        <w:numPr>
          <w:ilvl w:val="1"/>
          <w:numId w:val="0"/>
        </w:numPr>
        <w:spacing w:beforeLines="0" w:afterLines="0" w:line="360" w:lineRule="auto"/>
        <w:ind w:right="-105" w:firstLine="2272" w:firstLineChars="800"/>
        <w:outlineLvl w:val="9"/>
        <w:rPr>
          <w:rStyle w:val="51"/>
          <w:rFonts w:hint="eastAsia" w:hAnsi="黑体" w:eastAsia="黑体"/>
        </w:rPr>
      </w:pPr>
      <w:r>
        <w:rPr>
          <w:rStyle w:val="51"/>
          <w:rFonts w:hint="eastAsia" w:hAnsi="黑体" w:eastAsia="黑体"/>
        </w:rPr>
        <w:t>沙跃兵（浙江省质量科学研究院）</w:t>
      </w:r>
    </w:p>
    <w:p w14:paraId="69238220">
      <w:pPr>
        <w:pStyle w:val="85"/>
        <w:numPr>
          <w:ilvl w:val="1"/>
          <w:numId w:val="0"/>
        </w:numPr>
        <w:spacing w:beforeLines="0" w:afterLines="0" w:line="360" w:lineRule="auto"/>
        <w:ind w:right="-105" w:firstLine="2272" w:firstLineChars="800"/>
        <w:outlineLvl w:val="9"/>
        <w:rPr>
          <w:rStyle w:val="51"/>
          <w:rFonts w:hint="eastAsia" w:hAnsi="黑体" w:eastAsia="黑体"/>
        </w:rPr>
      </w:pPr>
      <w:r>
        <w:rPr>
          <w:rStyle w:val="51"/>
          <w:rFonts w:hint="eastAsia" w:hAnsi="黑体" w:eastAsia="黑体"/>
        </w:rPr>
        <w:t>施江焕（宁波市计量测试研究院）</w:t>
      </w:r>
    </w:p>
    <w:p w14:paraId="1243FC04">
      <w:pPr>
        <w:pStyle w:val="85"/>
        <w:numPr>
          <w:ilvl w:val="1"/>
          <w:numId w:val="0"/>
        </w:numPr>
        <w:spacing w:beforeLines="0" w:afterLines="0" w:line="360" w:lineRule="auto"/>
        <w:ind w:right="-105" w:firstLine="2272" w:firstLineChars="800"/>
        <w:outlineLvl w:val="9"/>
        <w:rPr>
          <w:rStyle w:val="51"/>
          <w:rFonts w:hint="eastAsia" w:hAnsi="黑体" w:eastAsia="黑体"/>
        </w:rPr>
      </w:pPr>
      <w:r>
        <w:rPr>
          <w:rStyle w:val="51"/>
          <w:rFonts w:hint="eastAsia" w:hAnsi="黑体" w:eastAsia="黑体"/>
        </w:rPr>
        <w:t>毕海鹏（中国石油化工集团有限公司胜利油田分公司）</w:t>
      </w:r>
    </w:p>
    <w:p w14:paraId="1DBECDDC">
      <w:pPr>
        <w:pStyle w:val="72"/>
        <w:ind w:firstLine="1704" w:firstLineChars="600"/>
        <w:rPr>
          <w:rStyle w:val="64"/>
          <w:szCs w:val="28"/>
        </w:rPr>
      </w:pPr>
      <w:r>
        <w:rPr>
          <w:rStyle w:val="64"/>
          <w:rFonts w:hint="eastAsia"/>
          <w:szCs w:val="28"/>
        </w:rPr>
        <w:t>参加起草人：</w:t>
      </w:r>
    </w:p>
    <w:p w14:paraId="0F0544B3">
      <w:pPr>
        <w:pStyle w:val="85"/>
        <w:numPr>
          <w:ilvl w:val="1"/>
          <w:numId w:val="0"/>
        </w:numPr>
        <w:spacing w:beforeLines="0" w:afterLines="0" w:line="360" w:lineRule="auto"/>
        <w:ind w:right="-105" w:firstLine="2272" w:firstLineChars="800"/>
        <w:outlineLvl w:val="9"/>
        <w:rPr>
          <w:rStyle w:val="51"/>
          <w:rFonts w:hint="eastAsia" w:hAnsi="黑体" w:eastAsia="黑体"/>
        </w:rPr>
      </w:pPr>
      <w:r>
        <w:rPr>
          <w:rStyle w:val="51"/>
          <w:rFonts w:hint="eastAsia" w:hAnsi="黑体" w:eastAsia="黑体"/>
        </w:rPr>
        <w:t>王  舵（辽宁省计量科学研究院）</w:t>
      </w:r>
    </w:p>
    <w:p w14:paraId="582931E3">
      <w:pPr>
        <w:pStyle w:val="72"/>
        <w:ind w:firstLine="2272" w:firstLineChars="800"/>
        <w:rPr>
          <w:rStyle w:val="51"/>
          <w:rFonts w:hint="eastAsia" w:ascii="黑体" w:hAnsi="黑体" w:eastAsia="黑体"/>
          <w:szCs w:val="20"/>
        </w:rPr>
      </w:pPr>
      <w:r>
        <w:rPr>
          <w:rStyle w:val="51"/>
          <w:rFonts w:hint="eastAsia" w:ascii="黑体" w:hAnsi="黑体" w:eastAsia="黑体"/>
          <w:szCs w:val="20"/>
        </w:rPr>
        <w:t>郭  波（</w:t>
      </w:r>
      <w:r>
        <w:rPr>
          <w:rStyle w:val="51"/>
          <w:rFonts w:ascii="黑体" w:hAnsi="黑体" w:eastAsia="黑体"/>
          <w:szCs w:val="20"/>
        </w:rPr>
        <w:t>山东</w:t>
      </w:r>
      <w:r>
        <w:rPr>
          <w:rStyle w:val="51"/>
          <w:rFonts w:hint="eastAsia" w:ascii="黑体" w:hAnsi="黑体" w:eastAsia="黑体"/>
          <w:szCs w:val="20"/>
        </w:rPr>
        <w:t>省计量科学研究院）</w:t>
      </w:r>
    </w:p>
    <w:p w14:paraId="3F6BA768">
      <w:pPr>
        <w:pStyle w:val="85"/>
        <w:numPr>
          <w:ilvl w:val="1"/>
          <w:numId w:val="0"/>
        </w:numPr>
        <w:spacing w:beforeLines="0" w:afterLines="0" w:line="360" w:lineRule="auto"/>
        <w:ind w:right="-105" w:firstLine="2272" w:firstLineChars="800"/>
        <w:outlineLvl w:val="9"/>
        <w:rPr>
          <w:rStyle w:val="51"/>
          <w:rFonts w:hint="eastAsia" w:hAnsi="黑体" w:eastAsia="黑体"/>
        </w:rPr>
      </w:pPr>
      <w:r>
        <w:rPr>
          <w:rStyle w:val="51"/>
          <w:rFonts w:hint="eastAsia" w:hAnsi="黑体" w:eastAsia="黑体"/>
        </w:rPr>
        <w:t>宋晓慧（浙江省质量科学研究院）</w:t>
      </w:r>
    </w:p>
    <w:p w14:paraId="200227BC">
      <w:pPr>
        <w:pStyle w:val="72"/>
        <w:ind w:firstLine="2272" w:firstLineChars="800"/>
        <w:rPr>
          <w:rStyle w:val="51"/>
          <w:rFonts w:hint="eastAsia" w:ascii="黑体" w:hAnsi="黑体" w:eastAsia="黑体"/>
          <w:szCs w:val="20"/>
        </w:rPr>
      </w:pPr>
      <w:r>
        <w:rPr>
          <w:rStyle w:val="51"/>
          <w:rFonts w:hint="eastAsia" w:ascii="黑体" w:hAnsi="黑体" w:eastAsia="黑体"/>
          <w:szCs w:val="20"/>
        </w:rPr>
        <w:t>李  昊（浙江中智检测技术有限公司）</w:t>
      </w:r>
    </w:p>
    <w:p w14:paraId="284DE7D6">
      <w:pPr>
        <w:pStyle w:val="72"/>
        <w:ind w:firstLine="488"/>
      </w:pPr>
    </w:p>
    <w:p w14:paraId="07437345">
      <w:pPr>
        <w:pStyle w:val="72"/>
        <w:ind w:firstLine="488"/>
      </w:pPr>
    </w:p>
    <w:p w14:paraId="4FC3C08D">
      <w:pPr>
        <w:pStyle w:val="72"/>
        <w:ind w:firstLine="1704" w:firstLineChars="600"/>
        <w:rPr>
          <w:sz w:val="28"/>
          <w:szCs w:val="28"/>
        </w:rPr>
      </w:pPr>
    </w:p>
    <w:p w14:paraId="23BEC9D3">
      <w:pPr>
        <w:pStyle w:val="85"/>
        <w:numPr>
          <w:ilvl w:val="1"/>
          <w:numId w:val="0"/>
        </w:numPr>
        <w:spacing w:beforeLines="0" w:afterLines="0"/>
        <w:ind w:right="-105"/>
        <w:outlineLvl w:val="9"/>
        <w:rPr>
          <w:rFonts w:ascii="Times New Roman"/>
          <w:color w:val="000000"/>
          <w:sz w:val="28"/>
          <w:szCs w:val="28"/>
        </w:rPr>
      </w:pPr>
    </w:p>
    <w:p w14:paraId="69516D01">
      <w:pPr>
        <w:pStyle w:val="131"/>
        <w:spacing w:before="0" w:after="0" w:line="240" w:lineRule="auto"/>
        <w:jc w:val="left"/>
        <w:outlineLvl w:val="9"/>
        <w:rPr>
          <w:rFonts w:ascii="Times New Roman"/>
          <w:color w:val="000000"/>
          <w:sz w:val="28"/>
          <w:szCs w:val="28"/>
        </w:rPr>
      </w:pPr>
    </w:p>
    <w:p w14:paraId="73CFB8E5">
      <w:pPr>
        <w:pStyle w:val="131"/>
        <w:spacing w:before="0" w:after="0" w:line="240" w:lineRule="auto"/>
        <w:jc w:val="left"/>
        <w:outlineLvl w:val="9"/>
        <w:rPr>
          <w:rFonts w:ascii="Times New Roman"/>
          <w:color w:val="000000"/>
          <w:sz w:val="28"/>
          <w:szCs w:val="28"/>
        </w:rPr>
      </w:pPr>
    </w:p>
    <w:p w14:paraId="02F51ADD">
      <w:pPr>
        <w:pStyle w:val="131"/>
        <w:spacing w:before="0" w:after="0" w:line="240" w:lineRule="auto"/>
        <w:jc w:val="left"/>
        <w:outlineLvl w:val="9"/>
        <w:rPr>
          <w:rFonts w:ascii="Times New Roman"/>
          <w:color w:val="000000"/>
          <w:sz w:val="28"/>
          <w:szCs w:val="28"/>
        </w:rPr>
      </w:pPr>
    </w:p>
    <w:p w14:paraId="10143288">
      <w:pPr>
        <w:pStyle w:val="131"/>
        <w:spacing w:before="0" w:after="0" w:line="240" w:lineRule="auto"/>
        <w:jc w:val="left"/>
        <w:outlineLvl w:val="9"/>
        <w:rPr>
          <w:rFonts w:ascii="Times New Roman"/>
          <w:color w:val="000000"/>
          <w:sz w:val="28"/>
          <w:szCs w:val="28"/>
        </w:rPr>
      </w:pPr>
    </w:p>
    <w:p w14:paraId="71E33F42">
      <w:pPr>
        <w:pStyle w:val="131"/>
        <w:spacing w:before="0" w:after="0" w:line="240" w:lineRule="auto"/>
        <w:jc w:val="left"/>
        <w:outlineLvl w:val="9"/>
        <w:rPr>
          <w:rFonts w:ascii="Times New Roman"/>
          <w:color w:val="000000"/>
          <w:sz w:val="28"/>
          <w:szCs w:val="28"/>
        </w:rPr>
      </w:pPr>
    </w:p>
    <w:p w14:paraId="35FEAC21">
      <w:pPr>
        <w:pStyle w:val="131"/>
        <w:spacing w:before="0" w:after="0" w:line="240" w:lineRule="auto"/>
        <w:jc w:val="left"/>
        <w:outlineLvl w:val="9"/>
        <w:rPr>
          <w:rFonts w:ascii="Times New Roman"/>
          <w:color w:val="000000"/>
          <w:sz w:val="28"/>
          <w:szCs w:val="28"/>
        </w:rPr>
      </w:pPr>
    </w:p>
    <w:p w14:paraId="061E5039">
      <w:pPr>
        <w:pStyle w:val="131"/>
        <w:spacing w:before="0" w:after="0" w:line="240" w:lineRule="auto"/>
        <w:jc w:val="left"/>
        <w:outlineLvl w:val="9"/>
        <w:rPr>
          <w:rFonts w:ascii="Times New Roman"/>
          <w:color w:val="000000"/>
          <w:sz w:val="28"/>
          <w:szCs w:val="28"/>
        </w:rPr>
      </w:pPr>
    </w:p>
    <w:p w14:paraId="53F85334">
      <w:pPr>
        <w:pStyle w:val="85"/>
        <w:spacing w:before="120" w:after="120"/>
        <w:ind w:right="-105"/>
        <w:outlineLvl w:val="9"/>
        <w:rPr>
          <w:rFonts w:ascii="Times New Roman"/>
        </w:rPr>
      </w:pPr>
    </w:p>
    <w:p w14:paraId="789CCA14">
      <w:pPr>
        <w:pStyle w:val="72"/>
        <w:ind w:firstLine="488"/>
      </w:pPr>
    </w:p>
    <w:p w14:paraId="3CCD766F">
      <w:pPr>
        <w:pStyle w:val="131"/>
        <w:spacing w:before="0" w:after="0" w:line="240" w:lineRule="auto"/>
        <w:jc w:val="left"/>
        <w:outlineLvl w:val="9"/>
        <w:rPr>
          <w:rFonts w:ascii="Times New Roman"/>
          <w:color w:val="000000"/>
          <w:sz w:val="28"/>
          <w:szCs w:val="28"/>
        </w:rPr>
        <w:sectPr>
          <w:headerReference r:id="rId14" w:type="default"/>
          <w:pgSz w:w="11906" w:h="16838"/>
          <w:pgMar w:top="1871" w:right="1134" w:bottom="1417" w:left="1417" w:header="1417" w:footer="1077" w:gutter="0"/>
          <w:pgNumType w:start="1"/>
          <w:cols w:space="720" w:num="1"/>
          <w:docGrid w:linePitch="286" w:charSpace="0"/>
        </w:sectPr>
      </w:pPr>
    </w:p>
    <w:p w14:paraId="78D1781A">
      <w:pPr>
        <w:widowControl/>
        <w:adjustRightInd/>
        <w:spacing w:line="240" w:lineRule="auto"/>
        <w:jc w:val="left"/>
        <w:rPr>
          <w:color w:val="000000"/>
          <w:kern w:val="0"/>
          <w:sz w:val="24"/>
          <w:szCs w:val="24"/>
        </w:rPr>
      </w:pPr>
    </w:p>
    <w:sdt>
      <w:sdtPr>
        <w:rPr>
          <w:rFonts w:ascii="宋体" w:hAnsi="宋体" w:eastAsia="黑体"/>
          <w:kern w:val="0"/>
          <w:sz w:val="32"/>
        </w:rPr>
        <w:id w:val="147464147"/>
        <w:docPartObj>
          <w:docPartGallery w:val="Table of Contents"/>
          <w:docPartUnique/>
        </w:docPartObj>
      </w:sdtPr>
      <w:sdtEndPr>
        <w:rPr>
          <w:rFonts w:hint="eastAsia" w:ascii="宋体" w:hAnsi="宋体" w:eastAsia="黑体" w:cs="宋体"/>
          <w:kern w:val="0"/>
          <w:sz w:val="28"/>
          <w:szCs w:val="28"/>
        </w:rPr>
      </w:sdtEndPr>
      <w:sdtContent>
        <w:p w14:paraId="16F969CB">
          <w:pPr>
            <w:spacing w:line="240" w:lineRule="auto"/>
            <w:jc w:val="center"/>
          </w:pPr>
          <w:r>
            <w:rPr>
              <w:rFonts w:hint="eastAsia" w:ascii="黑体" w:hAnsi="黑体" w:eastAsia="黑体" w:cs="黑体"/>
              <w:sz w:val="28"/>
              <w:szCs w:val="28"/>
            </w:rPr>
            <w:t>目  录</w:t>
          </w:r>
        </w:p>
        <w:p w14:paraId="70F14780">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TOC \o "1-2" \f \h \u </w:instrText>
          </w:r>
          <w:r>
            <w:fldChar w:fldCharType="separate"/>
          </w:r>
          <w:r>
            <w:fldChar w:fldCharType="begin"/>
          </w:r>
          <w:r>
            <w:instrText xml:space="preserve"> HYPERLINK \l "_Toc196840005" </w:instrText>
          </w:r>
          <w:r>
            <w:fldChar w:fldCharType="separate"/>
          </w:r>
          <w:r>
            <w:rPr>
              <w:rStyle w:val="39"/>
              <w:rFonts w:hint="eastAsia"/>
            </w:rPr>
            <w:t>引 言</w:t>
          </w:r>
          <w:r>
            <w:rPr>
              <w:rFonts w:hint="eastAsia"/>
            </w:rPr>
            <w:tab/>
          </w:r>
          <w:r>
            <w:rPr>
              <w:rFonts w:hint="eastAsia"/>
            </w:rPr>
            <w:fldChar w:fldCharType="begin"/>
          </w:r>
          <w:r>
            <w:rPr>
              <w:rFonts w:hint="eastAsia"/>
            </w:rPr>
            <w:instrText xml:space="preserve"> </w:instrText>
          </w:r>
          <w:r>
            <w:instrText xml:space="preserve">PAGEREF _Toc196840005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7350DD4D">
          <w:pPr>
            <w:pStyle w:val="17"/>
            <w:tabs>
              <w:tab w:val="left" w:pos="400"/>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"_Toc196840006" </w:instrText>
          </w:r>
          <w:r>
            <w:fldChar w:fldCharType="separate"/>
          </w:r>
          <w:r>
            <w:rPr>
              <w:rStyle w:val="39"/>
              <w:rFonts w:hint="eastAsia"/>
            </w:rPr>
            <w:t>1</w:t>
          </w:r>
          <w:r>
            <w:rPr>
              <w:rFonts w:hint="eastAsia" w:asciiTheme="minorHAnsi" w:hAnsiTheme="minorHAnsi" w:eastAsiaTheme="minorEastAsia" w:cstheme="minorBidi"/>
              <w:kern w:val="2"/>
              <w:sz w:val="22"/>
              <w:szCs w:val="24"/>
              <w14:ligatures w14:val="standardContextual"/>
            </w:rPr>
            <w:tab/>
          </w:r>
          <w:r>
            <w:rPr>
              <w:rStyle w:val="39"/>
              <w:rFonts w:hint="eastAsia"/>
            </w:rPr>
            <w:t>范围</w:t>
          </w:r>
          <w:r>
            <w:rPr>
              <w:rFonts w:hint="eastAsia"/>
            </w:rPr>
            <w:tab/>
          </w:r>
          <w:r>
            <w:rPr>
              <w:rFonts w:hint="eastAsia"/>
            </w:rPr>
            <w:fldChar w:fldCharType="begin"/>
          </w:r>
          <w:r>
            <w:rPr>
              <w:rFonts w:hint="eastAsia"/>
            </w:rPr>
            <w:instrText xml:space="preserve"> </w:instrText>
          </w:r>
          <w:r>
            <w:instrText xml:space="preserve">PAGEREF _Toc196840006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046D115">
          <w:pPr>
            <w:pStyle w:val="17"/>
            <w:tabs>
              <w:tab w:val="left" w:pos="400"/>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"_Toc196840007" </w:instrText>
          </w:r>
          <w:r>
            <w:fldChar w:fldCharType="separate"/>
          </w:r>
          <w:r>
            <w:rPr>
              <w:rStyle w:val="39"/>
              <w:rFonts w:hint="eastAsia"/>
            </w:rPr>
            <w:t>2</w:t>
          </w:r>
          <w:r>
            <w:rPr>
              <w:rFonts w:hint="eastAsia" w:asciiTheme="minorHAnsi" w:hAnsiTheme="minorHAnsi" w:eastAsiaTheme="minorEastAsia" w:cstheme="minorBidi"/>
              <w:kern w:val="2"/>
              <w:sz w:val="22"/>
              <w:szCs w:val="24"/>
              <w14:ligatures w14:val="standardContextual"/>
            </w:rPr>
            <w:tab/>
          </w:r>
          <w:r>
            <w:rPr>
              <w:rStyle w:val="39"/>
              <w:rFonts w:hint="eastAsia"/>
            </w:rPr>
            <w:t>引用文件</w:t>
          </w:r>
          <w:r>
            <w:rPr>
              <w:rFonts w:hint="eastAsia"/>
            </w:rPr>
            <w:tab/>
          </w:r>
          <w:r>
            <w:rPr>
              <w:rFonts w:hint="eastAsia"/>
            </w:rPr>
            <w:fldChar w:fldCharType="begin"/>
          </w:r>
          <w:r>
            <w:rPr>
              <w:rFonts w:hint="eastAsia"/>
            </w:rPr>
            <w:instrText xml:space="preserve"> </w:instrText>
          </w:r>
          <w:r>
            <w:instrText xml:space="preserve">PAGEREF _Toc196840007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7CFBAB7">
          <w:pPr>
            <w:pStyle w:val="17"/>
            <w:tabs>
              <w:tab w:val="left" w:pos="400"/>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"_Toc196840008" </w:instrText>
          </w:r>
          <w:r>
            <w:fldChar w:fldCharType="separate"/>
          </w:r>
          <w:r>
            <w:rPr>
              <w:rStyle w:val="39"/>
              <w:rFonts w:hint="eastAsia"/>
            </w:rPr>
            <w:t>3</w:t>
          </w:r>
          <w:r>
            <w:rPr>
              <w:rFonts w:hint="eastAsia" w:asciiTheme="minorHAnsi" w:hAnsiTheme="minorHAnsi" w:eastAsiaTheme="minorEastAsia" w:cstheme="minorBidi"/>
              <w:kern w:val="2"/>
              <w:sz w:val="22"/>
              <w:szCs w:val="24"/>
              <w14:ligatures w14:val="standardContextual"/>
            </w:rPr>
            <w:tab/>
          </w:r>
          <w:r>
            <w:rPr>
              <w:rStyle w:val="39"/>
              <w:rFonts w:hint="eastAsia"/>
            </w:rPr>
            <w:t>概述</w:t>
          </w:r>
          <w:r>
            <w:rPr>
              <w:rFonts w:hint="eastAsia"/>
            </w:rPr>
            <w:tab/>
          </w:r>
          <w:r>
            <w:rPr>
              <w:rFonts w:hint="eastAsia"/>
            </w:rPr>
            <w:fldChar w:fldCharType="begin"/>
          </w:r>
          <w:r>
            <w:rPr>
              <w:rFonts w:hint="eastAsia"/>
            </w:rPr>
            <w:instrText xml:space="preserve"> </w:instrText>
          </w:r>
          <w:r>
            <w:instrText xml:space="preserve">PAGEREF _Toc196840008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73ADF24">
          <w:pPr>
            <w:pStyle w:val="17"/>
            <w:tabs>
              <w:tab w:val="left" w:pos="400"/>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"_Toc196840009" </w:instrText>
          </w:r>
          <w:r>
            <w:fldChar w:fldCharType="separate"/>
          </w:r>
          <w:r>
            <w:rPr>
              <w:rStyle w:val="39"/>
              <w:rFonts w:hint="eastAsia"/>
            </w:rPr>
            <w:t>4</w:t>
          </w:r>
          <w:r>
            <w:rPr>
              <w:rFonts w:hint="eastAsia" w:asciiTheme="minorHAnsi" w:hAnsiTheme="minorHAnsi" w:eastAsiaTheme="minorEastAsia" w:cstheme="minorBidi"/>
              <w:kern w:val="2"/>
              <w:sz w:val="22"/>
              <w:szCs w:val="24"/>
              <w14:ligatures w14:val="standardContextual"/>
            </w:rPr>
            <w:tab/>
          </w:r>
          <w:r>
            <w:rPr>
              <w:rStyle w:val="39"/>
              <w:rFonts w:hint="eastAsia"/>
            </w:rPr>
            <w:t>计量特性</w:t>
          </w:r>
          <w:r>
            <w:rPr>
              <w:rFonts w:hint="eastAsia"/>
            </w:rPr>
            <w:tab/>
          </w:r>
          <w:r>
            <w:rPr>
              <w:rFonts w:hint="eastAsia"/>
            </w:rPr>
            <w:fldChar w:fldCharType="begin"/>
          </w:r>
          <w:r>
            <w:rPr>
              <w:rFonts w:hint="eastAsia"/>
            </w:rPr>
            <w:instrText xml:space="preserve"> </w:instrText>
          </w:r>
          <w:r>
            <w:instrText xml:space="preserve">PAGEREF _Toc196840009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88F3614">
          <w:pPr>
            <w:pStyle w:val="17"/>
            <w:tabs>
              <w:tab w:val="left" w:pos="400"/>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"_Toc196840010" </w:instrText>
          </w:r>
          <w:r>
            <w:fldChar w:fldCharType="separate"/>
          </w:r>
          <w:r>
            <w:rPr>
              <w:rStyle w:val="39"/>
              <w:rFonts w:hint="eastAsia"/>
            </w:rPr>
            <w:t>5</w:t>
          </w:r>
          <w:r>
            <w:rPr>
              <w:rFonts w:hint="eastAsia" w:asciiTheme="minorHAnsi" w:hAnsiTheme="minorHAnsi" w:eastAsiaTheme="minorEastAsia" w:cstheme="minorBidi"/>
              <w:kern w:val="2"/>
              <w:sz w:val="22"/>
              <w:szCs w:val="24"/>
              <w14:ligatures w14:val="standardContextual"/>
            </w:rPr>
            <w:tab/>
          </w:r>
          <w:r>
            <w:rPr>
              <w:rStyle w:val="39"/>
              <w:rFonts w:hint="eastAsia"/>
            </w:rPr>
            <w:t>校准条件</w:t>
          </w:r>
          <w:r>
            <w:rPr>
              <w:rFonts w:hint="eastAsia"/>
            </w:rPr>
            <w:tab/>
          </w:r>
          <w:r>
            <w:rPr>
              <w:rFonts w:hint="eastAsia"/>
            </w:rPr>
            <w:fldChar w:fldCharType="begin"/>
          </w:r>
          <w:r>
            <w:rPr>
              <w:rFonts w:hint="eastAsia"/>
            </w:rPr>
            <w:instrText xml:space="preserve"> </w:instrText>
          </w:r>
          <w:r>
            <w:instrText xml:space="preserve">PAGEREF _Toc196840010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91A7A7A">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"_Toc196840011" </w:instrText>
          </w:r>
          <w:r>
            <w:fldChar w:fldCharType="separate"/>
          </w:r>
          <w:r>
            <w:rPr>
              <w:rStyle w:val="39"/>
              <w:rFonts w:hint="eastAsia"/>
            </w:rPr>
            <w:t>5.1 环境条件</w:t>
          </w:r>
          <w:r>
            <w:rPr>
              <w:rFonts w:hint="eastAsia"/>
            </w:rPr>
            <w:tab/>
          </w:r>
          <w:r>
            <w:rPr>
              <w:rFonts w:hint="eastAsia"/>
            </w:rPr>
            <w:fldChar w:fldCharType="begin"/>
          </w:r>
          <w:r>
            <w:rPr>
              <w:rFonts w:hint="eastAsia"/>
            </w:rPr>
            <w:instrText xml:space="preserve"> </w:instrText>
          </w:r>
          <w:r>
            <w:instrText xml:space="preserve">PAGEREF _Toc196840011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7D972A9">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"_Toc196840012" </w:instrText>
          </w:r>
          <w:r>
            <w:fldChar w:fldCharType="separate"/>
          </w:r>
          <w:r>
            <w:rPr>
              <w:rStyle w:val="39"/>
              <w:rFonts w:hint="eastAsia"/>
            </w:rPr>
            <w:t>5.2 测量标准及其他设备</w:t>
          </w:r>
          <w:r>
            <w:rPr>
              <w:rFonts w:hint="eastAsia"/>
            </w:rPr>
            <w:tab/>
          </w:r>
          <w:r>
            <w:rPr>
              <w:rFonts w:hint="eastAsia"/>
            </w:rPr>
            <w:fldChar w:fldCharType="begin"/>
          </w:r>
          <w:r>
            <w:rPr>
              <w:rFonts w:hint="eastAsia"/>
            </w:rPr>
            <w:instrText xml:space="preserve"> </w:instrText>
          </w:r>
          <w:r>
            <w:instrText xml:space="preserve">PAGEREF _Toc196840012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C109D28">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"_Toc196840013" </w:instrText>
          </w:r>
          <w:r>
            <w:fldChar w:fldCharType="separate"/>
          </w:r>
          <w:r>
            <w:rPr>
              <w:rStyle w:val="39"/>
              <w:rFonts w:hint="eastAsia"/>
            </w:rPr>
            <w:t>6 校准项目和校准方法</w:t>
          </w:r>
          <w:r>
            <w:rPr>
              <w:rFonts w:hint="eastAsia"/>
            </w:rPr>
            <w:tab/>
          </w:r>
          <w:r>
            <w:rPr>
              <w:rFonts w:hint="eastAsia"/>
            </w:rPr>
            <w:fldChar w:fldCharType="begin"/>
          </w:r>
          <w:r>
            <w:rPr>
              <w:rFonts w:hint="eastAsia"/>
            </w:rPr>
            <w:instrText xml:space="preserve"> </w:instrText>
          </w:r>
          <w:r>
            <w:instrText xml:space="preserve">PAGEREF _Toc196840013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469C041">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"_Toc196840014" </w:instrText>
          </w:r>
          <w:r>
            <w:fldChar w:fldCharType="separate"/>
          </w:r>
          <w:r>
            <w:rPr>
              <w:rStyle w:val="39"/>
              <w:rFonts w:hint="eastAsia"/>
            </w:rPr>
            <w:t>6.1 校准前准备</w:t>
          </w:r>
          <w:r>
            <w:rPr>
              <w:rFonts w:hint="eastAsia"/>
            </w:rPr>
            <w:tab/>
          </w:r>
          <w:r>
            <w:rPr>
              <w:rFonts w:hint="eastAsia"/>
            </w:rPr>
            <w:fldChar w:fldCharType="begin"/>
          </w:r>
          <w:r>
            <w:rPr>
              <w:rFonts w:hint="eastAsia"/>
            </w:rPr>
            <w:instrText xml:space="preserve"> </w:instrText>
          </w:r>
          <w:r>
            <w:instrText xml:space="preserve">PAGEREF _Toc196840014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8014459">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"_Toc196840015" </w:instrText>
          </w:r>
          <w:r>
            <w:fldChar w:fldCharType="separate"/>
          </w:r>
          <w:r>
            <w:rPr>
              <w:rStyle w:val="39"/>
              <w:rFonts w:hint="eastAsia"/>
            </w:rPr>
            <w:t>6.2循环水浴温度示值误差</w:t>
          </w:r>
          <w:r>
            <w:rPr>
              <w:rFonts w:hint="eastAsia"/>
            </w:rPr>
            <w:tab/>
          </w:r>
          <w:r>
            <w:rPr>
              <w:rFonts w:hint="eastAsia"/>
            </w:rPr>
            <w:fldChar w:fldCharType="begin"/>
          </w:r>
          <w:r>
            <w:rPr>
              <w:rFonts w:hint="eastAsia"/>
            </w:rPr>
            <w:instrText xml:space="preserve"> </w:instrText>
          </w:r>
          <w:r>
            <w:instrText xml:space="preserve">PAGEREF _Toc196840015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3A7CFCA">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"_Toc196840016" </w:instrText>
          </w:r>
          <w:r>
            <w:fldChar w:fldCharType="separate"/>
          </w:r>
          <w:r>
            <w:rPr>
              <w:rStyle w:val="39"/>
              <w:rFonts w:hint="eastAsia"/>
            </w:rPr>
            <w:t>6.3</w:t>
          </w:r>
          <w:r>
            <w:rPr>
              <w:rStyle w:val="39"/>
              <w:rFonts w:hint="eastAsia" w:eastAsia="黑体"/>
              <w:bCs/>
            </w:rPr>
            <w:t xml:space="preserve"> </w:t>
          </w:r>
          <w:r>
            <w:rPr>
              <w:rStyle w:val="39"/>
              <w:rFonts w:hint="eastAsia" w:asciiTheme="minorEastAsia" w:hAnsiTheme="minorEastAsia" w:eastAsiaTheme="minorEastAsia"/>
              <w:bCs/>
            </w:rPr>
            <w:t>空气温度示值误差</w:t>
          </w:r>
          <w:r>
            <w:rPr>
              <w:rFonts w:hint="eastAsia"/>
            </w:rPr>
            <w:tab/>
          </w:r>
          <w:r>
            <w:rPr>
              <w:rFonts w:hint="eastAsia"/>
            </w:rPr>
            <w:fldChar w:fldCharType="begin"/>
          </w:r>
          <w:r>
            <w:rPr>
              <w:rFonts w:hint="eastAsia"/>
            </w:rPr>
            <w:instrText xml:space="preserve"> </w:instrText>
          </w:r>
          <w:r>
            <w:instrText xml:space="preserve">PAGEREF _Toc196840016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7DB60D5">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"_Toc196840017" </w:instrText>
          </w:r>
          <w:r>
            <w:fldChar w:fldCharType="separate"/>
          </w:r>
          <w:r>
            <w:rPr>
              <w:rStyle w:val="39"/>
              <w:rFonts w:hint="eastAsia"/>
            </w:rPr>
            <w:t>6.4 压力示值误差</w:t>
          </w:r>
          <w:r>
            <w:rPr>
              <w:rFonts w:hint="eastAsia"/>
            </w:rPr>
            <w:tab/>
          </w:r>
          <w:r>
            <w:rPr>
              <w:rFonts w:hint="eastAsia"/>
            </w:rPr>
            <w:fldChar w:fldCharType="begin"/>
          </w:r>
          <w:r>
            <w:rPr>
              <w:rFonts w:hint="eastAsia"/>
            </w:rPr>
            <w:instrText xml:space="preserve"> </w:instrText>
          </w:r>
          <w:r>
            <w:instrText xml:space="preserve">PAGEREF _Toc196840017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61EAD29">
          <w:pPr>
            <w:pStyle w:val="16"/>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"_Toc196840018" </w:instrText>
          </w:r>
          <w:r>
            <w:fldChar w:fldCharType="separate"/>
          </w:r>
          <w:r>
            <w:rPr>
              <w:rStyle w:val="39"/>
              <w:rFonts w:hint="eastAsia"/>
            </w:rPr>
            <w:t>6.5 称量示值误差</w:t>
          </w:r>
          <w:r>
            <w:rPr>
              <w:rFonts w:hint="eastAsia"/>
            </w:rPr>
            <w:tab/>
          </w:r>
          <w:r>
            <w:rPr>
              <w:rFonts w:hint="eastAsia"/>
            </w:rPr>
            <w:fldChar w:fldCharType="begin"/>
          </w:r>
          <w:r>
            <w:rPr>
              <w:rFonts w:hint="eastAsia"/>
            </w:rPr>
            <w:instrText xml:space="preserve"> </w:instrText>
          </w:r>
          <w:r>
            <w:instrText xml:space="preserve">PAGEREF _Toc196840018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1E5D94F">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"_Toc196840019" </w:instrText>
          </w:r>
          <w:r>
            <w:fldChar w:fldCharType="separate"/>
          </w:r>
          <w:r>
            <w:rPr>
              <w:rStyle w:val="39"/>
              <w:rFonts w:hint="eastAsia"/>
            </w:rPr>
            <w:t>7 校准结果表达</w:t>
          </w:r>
          <w:r>
            <w:rPr>
              <w:rFonts w:hint="eastAsia"/>
            </w:rPr>
            <w:tab/>
          </w:r>
          <w:r>
            <w:rPr>
              <w:rFonts w:hint="eastAsia"/>
            </w:rPr>
            <w:fldChar w:fldCharType="begin"/>
          </w:r>
          <w:r>
            <w:rPr>
              <w:rFonts w:hint="eastAsia"/>
            </w:rPr>
            <w:instrText xml:space="preserve"> </w:instrText>
          </w:r>
          <w:r>
            <w:instrText xml:space="preserve">PAGEREF _Toc196840019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9CE7641">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"_Toc196840020" </w:instrText>
          </w:r>
          <w:r>
            <w:fldChar w:fldCharType="separate"/>
          </w:r>
          <w:r>
            <w:rPr>
              <w:rStyle w:val="39"/>
              <w:rFonts w:hint="eastAsia"/>
            </w:rPr>
            <w:t>8 复校时间间隔</w:t>
          </w:r>
          <w:r>
            <w:rPr>
              <w:rFonts w:hint="eastAsia"/>
            </w:rPr>
            <w:tab/>
          </w:r>
          <w:r>
            <w:rPr>
              <w:rFonts w:hint="eastAsia"/>
            </w:rPr>
            <w:fldChar w:fldCharType="begin"/>
          </w:r>
          <w:r>
            <w:rPr>
              <w:rFonts w:hint="eastAsia"/>
            </w:rPr>
            <w:instrText xml:space="preserve"> </w:instrText>
          </w:r>
          <w:r>
            <w:instrText xml:space="preserve">PAGEREF _Toc196840020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09B6B2F">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"_Toc196840021" </w:instrText>
          </w:r>
          <w:r>
            <w:fldChar w:fldCharType="separate"/>
          </w:r>
          <w:r>
            <w:rPr>
              <w:rStyle w:val="39"/>
              <w:rFonts w:hint="eastAsia"/>
            </w:rPr>
            <w:t>附录A校准原始记录参考格式</w:t>
          </w:r>
          <w:r>
            <w:rPr>
              <w:rFonts w:hint="eastAsia"/>
            </w:rPr>
            <w:tab/>
          </w:r>
          <w:r>
            <w:rPr>
              <w:rFonts w:hint="eastAsia"/>
            </w:rPr>
            <w:fldChar w:fldCharType="begin"/>
          </w:r>
          <w:r>
            <w:rPr>
              <w:rFonts w:hint="eastAsia"/>
            </w:rPr>
            <w:instrText xml:space="preserve"> </w:instrText>
          </w:r>
          <w:r>
            <w:instrText xml:space="preserve">PAGEREF _Toc196840021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156BE688">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"_Toc196840022" </w:instrText>
          </w:r>
          <w:r>
            <w:fldChar w:fldCharType="separate"/>
          </w:r>
          <w:r>
            <w:rPr>
              <w:rStyle w:val="39"/>
              <w:rFonts w:hint="eastAsia"/>
            </w:rPr>
            <w:t>附录B校准证书（内页）参考格式</w:t>
          </w:r>
          <w:r>
            <w:rPr>
              <w:rFonts w:hint="eastAsia"/>
            </w:rPr>
            <w:tab/>
          </w:r>
          <w:r>
            <w:rPr>
              <w:rFonts w:hint="eastAsia"/>
            </w:rPr>
            <w:fldChar w:fldCharType="begin"/>
          </w:r>
          <w:r>
            <w:rPr>
              <w:rFonts w:hint="eastAsia"/>
            </w:rPr>
            <w:instrText xml:space="preserve"> </w:instrText>
          </w:r>
          <w:r>
            <w:instrText xml:space="preserve">PAGEREF _Toc196840022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777BE01">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"_Toc196840023" </w:instrText>
          </w:r>
          <w:r>
            <w:fldChar w:fldCharType="separate"/>
          </w:r>
          <w:r>
            <w:rPr>
              <w:rStyle w:val="39"/>
              <w:rFonts w:hint="eastAsia"/>
            </w:rPr>
            <w:t>附录C温度示值误差测量结果的不确定度评定示例</w:t>
          </w:r>
          <w:r>
            <w:rPr>
              <w:rFonts w:hint="eastAsia"/>
            </w:rPr>
            <w:tab/>
          </w:r>
          <w:r>
            <w:rPr>
              <w:rFonts w:hint="eastAsia"/>
            </w:rPr>
            <w:fldChar w:fldCharType="begin"/>
          </w:r>
          <w:r>
            <w:rPr>
              <w:rFonts w:hint="eastAsia"/>
            </w:rPr>
            <w:instrText xml:space="preserve"> </w:instrText>
          </w:r>
          <w:r>
            <w:instrText xml:space="preserve">PAGEREF _Toc196840023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7C11AF4">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"_Toc196840024" </w:instrText>
          </w:r>
          <w:r>
            <w:fldChar w:fldCharType="separate"/>
          </w:r>
          <w:r>
            <w:rPr>
              <w:rStyle w:val="39"/>
              <w:rFonts w:hint="eastAsia"/>
            </w:rPr>
            <w:t>附录D压力示值误差测量结果的不确定度评定示例</w:t>
          </w:r>
          <w:r>
            <w:rPr>
              <w:rFonts w:hint="eastAsia"/>
            </w:rPr>
            <w:tab/>
          </w:r>
          <w:r>
            <w:rPr>
              <w:rFonts w:hint="eastAsia"/>
            </w:rPr>
            <w:fldChar w:fldCharType="begin"/>
          </w:r>
          <w:r>
            <w:rPr>
              <w:rFonts w:hint="eastAsia"/>
            </w:rPr>
            <w:instrText xml:space="preserve"> </w:instrText>
          </w:r>
          <w:r>
            <w:instrText xml:space="preserve">PAGEREF _Toc196840024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63406BD">
          <w:pPr>
            <w:pStyle w:val="17"/>
            <w:tabs>
              <w:tab w:val="right" w:leader="dot" w:pos="9060"/>
            </w:tabs>
            <w:rPr>
              <w:rFonts w:asciiTheme="minorHAnsi" w:hAnsiTheme="minorHAnsi" w:eastAsiaTheme="minorEastAsia" w:cstheme="minorBidi"/>
              <w:kern w:val="2"/>
              <w:sz w:val="22"/>
              <w:szCs w:val="24"/>
              <w14:ligatures w14:val="standardContextual"/>
            </w:rPr>
          </w:pPr>
          <w:r>
            <w:fldChar w:fldCharType="begin"/>
          </w:r>
          <w:r>
            <w:instrText xml:space="preserve"> HYPERLINK \l "_Toc196840025" </w:instrText>
          </w:r>
          <w:r>
            <w:fldChar w:fldCharType="separate"/>
          </w:r>
          <w:r>
            <w:rPr>
              <w:rStyle w:val="39"/>
              <w:rFonts w:hint="eastAsia"/>
            </w:rPr>
            <w:t>附录E称量示值误差测量结果的不确定度评定示例</w:t>
          </w:r>
          <w:r>
            <w:rPr>
              <w:rFonts w:hint="eastAsia"/>
            </w:rPr>
            <w:tab/>
          </w:r>
          <w:r>
            <w:rPr>
              <w:rFonts w:hint="eastAsia"/>
            </w:rPr>
            <w:fldChar w:fldCharType="begin"/>
          </w:r>
          <w:r>
            <w:rPr>
              <w:rFonts w:hint="eastAsia"/>
            </w:rPr>
            <w:instrText xml:space="preserve"> </w:instrText>
          </w:r>
          <w:r>
            <w:instrText xml:space="preserve">PAGEREF _Toc196840025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30FEE69">
          <w:pPr>
            <w:pStyle w:val="131"/>
            <w:spacing w:before="0" w:after="0" w:line="240" w:lineRule="auto"/>
            <w:jc w:val="left"/>
            <w:outlineLvl w:val="9"/>
            <w:rPr>
              <w:rFonts w:hint="eastAsia" w:ascii="宋体" w:hAnsi="宋体" w:eastAsia="宋体" w:cs="宋体"/>
              <w:color w:val="000000"/>
              <w:sz w:val="28"/>
              <w:szCs w:val="28"/>
            </w:rPr>
          </w:pPr>
          <w:r>
            <w:fldChar w:fldCharType="end"/>
          </w:r>
        </w:p>
      </w:sdtContent>
    </w:sdt>
    <w:p w14:paraId="653A00E4">
      <w:r>
        <w:br w:type="page"/>
      </w:r>
    </w:p>
    <w:p w14:paraId="7D41275B">
      <w:pPr>
        <w:pStyle w:val="72"/>
        <w:ind w:firstLine="488"/>
      </w:pPr>
    </w:p>
    <w:p w14:paraId="478FC9EA">
      <w:pPr>
        <w:pStyle w:val="2"/>
        <w:spacing w:line="324" w:lineRule="auto"/>
        <w:ind w:left="420"/>
        <w:jc w:val="center"/>
        <w:rPr>
          <w:szCs w:val="24"/>
        </w:rPr>
      </w:pPr>
      <w:bookmarkStart w:id="4" w:name="_Toc23262"/>
      <w:bookmarkStart w:id="5" w:name="_Toc3098"/>
      <w:bookmarkStart w:id="6" w:name="_Toc4958"/>
      <w:bookmarkStart w:id="7" w:name="_Toc99635389"/>
      <w:bookmarkStart w:id="8" w:name="_Toc196840005"/>
      <w:bookmarkStart w:id="9" w:name="_Toc73367151"/>
      <w:bookmarkStart w:id="10" w:name="_Toc18458"/>
      <w:bookmarkStart w:id="11" w:name="_Toc26745"/>
      <w:r>
        <w:rPr>
          <w:rFonts w:hint="eastAsia"/>
          <w:sz w:val="44"/>
          <w:szCs w:val="24"/>
        </w:rPr>
        <w:t>引 言</w:t>
      </w:r>
      <w:bookmarkEnd w:id="4"/>
      <w:bookmarkEnd w:id="5"/>
      <w:bookmarkEnd w:id="6"/>
      <w:bookmarkEnd w:id="7"/>
      <w:bookmarkEnd w:id="8"/>
      <w:bookmarkEnd w:id="9"/>
      <w:bookmarkEnd w:id="10"/>
      <w:bookmarkEnd w:id="11"/>
    </w:p>
    <w:p w14:paraId="7241F996">
      <w:pPr>
        <w:snapToGrid w:val="0"/>
        <w:spacing w:line="360" w:lineRule="auto"/>
        <w:ind w:firstLine="480" w:firstLineChars="200"/>
        <w:rPr>
          <w:sz w:val="24"/>
          <w:szCs w:val="24"/>
        </w:rPr>
      </w:pPr>
      <w:r>
        <w:rPr>
          <w:sz w:val="24"/>
          <w:szCs w:val="24"/>
        </w:rPr>
        <w:t>JJF 1071-2010</w:t>
      </w:r>
      <w:r>
        <w:rPr>
          <w:rFonts w:hint="eastAsia"/>
          <w:sz w:val="24"/>
          <w:szCs w:val="24"/>
        </w:rPr>
        <w:t>《国家计量校准规范编写规则》，</w:t>
      </w:r>
      <w:r>
        <w:rPr>
          <w:sz w:val="24"/>
          <w:szCs w:val="24"/>
        </w:rPr>
        <w:t>JJF 1001-2011</w:t>
      </w:r>
      <w:r>
        <w:rPr>
          <w:rFonts w:hint="eastAsia"/>
          <w:sz w:val="24"/>
          <w:szCs w:val="24"/>
        </w:rPr>
        <w:t>《通用计量术语及定义》和</w:t>
      </w:r>
      <w:r>
        <w:rPr>
          <w:sz w:val="24"/>
          <w:szCs w:val="24"/>
        </w:rPr>
        <w:t>JJF</w:t>
      </w:r>
      <w:r>
        <w:rPr>
          <w:rFonts w:hint="eastAsia"/>
          <w:sz w:val="24"/>
          <w:szCs w:val="24"/>
        </w:rPr>
        <w:t xml:space="preserve"> </w:t>
      </w:r>
      <w:r>
        <w:rPr>
          <w:sz w:val="24"/>
          <w:szCs w:val="24"/>
        </w:rPr>
        <w:t>1059.1-2012</w:t>
      </w:r>
      <w:r>
        <w:rPr>
          <w:rFonts w:hint="eastAsia"/>
          <w:sz w:val="24"/>
          <w:szCs w:val="24"/>
        </w:rPr>
        <w:t>《测量不确定度评定与表示》共同构成支撑本规范制定工作的基础性系列规范。</w:t>
      </w:r>
    </w:p>
    <w:p w14:paraId="6810D8B0">
      <w:pPr>
        <w:spacing w:line="360" w:lineRule="auto"/>
        <w:ind w:firstLine="480" w:firstLineChars="200"/>
        <w:rPr>
          <w:sz w:val="24"/>
          <w:szCs w:val="24"/>
        </w:rPr>
      </w:pPr>
      <w:r>
        <w:rPr>
          <w:rFonts w:hint="eastAsia"/>
          <w:sz w:val="24"/>
          <w:szCs w:val="24"/>
        </w:rPr>
        <w:t>本规范技术指标的制定参考了SH</w:t>
      </w:r>
      <w:r>
        <w:rPr>
          <w:sz w:val="24"/>
          <w:szCs w:val="24"/>
        </w:rPr>
        <w:t>/</w:t>
      </w:r>
      <w:r>
        <w:rPr>
          <w:rFonts w:hint="eastAsia"/>
          <w:sz w:val="24"/>
          <w:szCs w:val="24"/>
        </w:rPr>
        <w:t>T 0308-1992（2004）《</w:t>
      </w:r>
      <w:r>
        <w:rPr>
          <w:rFonts w:hint="eastAsia" w:ascii="宋体" w:hAnsi="宋体" w:cs="宋体"/>
          <w:sz w:val="24"/>
        </w:rPr>
        <w:t>润滑油空气释放值测定法》</w:t>
      </w:r>
      <w:r>
        <w:rPr>
          <w:rFonts w:hint="eastAsia"/>
          <w:sz w:val="24"/>
          <w:szCs w:val="24"/>
        </w:rPr>
        <w:t>。</w:t>
      </w:r>
    </w:p>
    <w:p w14:paraId="6955D909">
      <w:pPr>
        <w:adjustRightInd/>
        <w:spacing w:line="360" w:lineRule="auto"/>
        <w:ind w:firstLine="480" w:firstLineChars="200"/>
      </w:pPr>
      <w:r>
        <w:rPr>
          <w:sz w:val="24"/>
          <w:szCs w:val="24"/>
        </w:rPr>
        <w:t>本规范为首次发布。</w:t>
      </w:r>
    </w:p>
    <w:p w14:paraId="1D742D33">
      <w:pPr>
        <w:spacing w:line="360" w:lineRule="auto"/>
        <w:ind w:firstLine="480" w:firstLineChars="200"/>
        <w:rPr>
          <w:sz w:val="24"/>
          <w:szCs w:val="24"/>
        </w:rPr>
      </w:pPr>
    </w:p>
    <w:p w14:paraId="6FF8AC94">
      <w:pPr>
        <w:pStyle w:val="72"/>
        <w:ind w:firstLine="0" w:firstLineChars="0"/>
        <w:rPr>
          <w:color w:val="000000"/>
        </w:rPr>
        <w:sectPr>
          <w:headerReference r:id="rId15" w:type="default"/>
          <w:footerReference r:id="rId16" w:type="default"/>
          <w:pgSz w:w="11906" w:h="16838"/>
          <w:pgMar w:top="1871" w:right="1418" w:bottom="1418" w:left="1418" w:header="1418" w:footer="1077" w:gutter="0"/>
          <w:pgNumType w:fmt="upperRoman" w:start="1"/>
          <w:cols w:space="720" w:num="1"/>
          <w:docGrid w:linePitch="286" w:charSpace="0"/>
        </w:sectPr>
      </w:pPr>
    </w:p>
    <w:p w14:paraId="72F656BC">
      <w:pPr>
        <w:spacing w:line="360" w:lineRule="auto"/>
        <w:jc w:val="center"/>
        <w:rPr>
          <w:rFonts w:hint="eastAsia" w:ascii="黑体" w:hAnsi="黑体" w:eastAsia="黑体" w:cs="黑体"/>
          <w:sz w:val="32"/>
          <w:szCs w:val="32"/>
        </w:rPr>
      </w:pPr>
      <w:bookmarkStart w:id="12" w:name="_Toc14018"/>
      <w:bookmarkStart w:id="13" w:name="_Toc4325"/>
      <w:bookmarkStart w:id="14" w:name="_Toc27678"/>
      <w:bookmarkStart w:id="15" w:name="_Toc23439"/>
      <w:bookmarkStart w:id="16" w:name="_Toc17344"/>
      <w:bookmarkStart w:id="17" w:name="_Toc32325"/>
      <w:bookmarkStart w:id="18" w:name="_Toc49698414"/>
      <w:bookmarkStart w:id="19" w:name="_Toc18038"/>
      <w:bookmarkStart w:id="20" w:name="OLE_LINK10"/>
      <w:r>
        <w:rPr>
          <w:rFonts w:hint="eastAsia" w:ascii="黑体" w:hAnsi="黑体" w:eastAsia="黑体" w:cs="黑体"/>
          <w:sz w:val="32"/>
          <w:szCs w:val="32"/>
        </w:rPr>
        <w:t>润滑油空气释放值测定仪校准规范</w:t>
      </w:r>
      <w:bookmarkEnd w:id="12"/>
      <w:bookmarkEnd w:id="13"/>
      <w:bookmarkEnd w:id="14"/>
      <w:bookmarkEnd w:id="15"/>
      <w:bookmarkEnd w:id="16"/>
      <w:bookmarkEnd w:id="17"/>
      <w:bookmarkEnd w:id="18"/>
      <w:bookmarkEnd w:id="19"/>
    </w:p>
    <w:bookmarkEnd w:id="20"/>
    <w:p w14:paraId="6F6A5884">
      <w:pPr>
        <w:pStyle w:val="2"/>
        <w:numPr>
          <w:ilvl w:val="0"/>
          <w:numId w:val="1"/>
        </w:numPr>
        <w:spacing w:before="0" w:after="0"/>
        <w:rPr>
          <w:szCs w:val="24"/>
        </w:rPr>
      </w:pPr>
      <w:bookmarkStart w:id="21" w:name="_Toc19998"/>
      <w:bookmarkStart w:id="22" w:name="_Toc73367152"/>
      <w:bookmarkStart w:id="23" w:name="_Toc25175"/>
      <w:bookmarkStart w:id="24" w:name="_Toc3628"/>
      <w:bookmarkStart w:id="25" w:name="_Toc20132"/>
      <w:bookmarkStart w:id="26" w:name="_Toc196840006"/>
      <w:bookmarkStart w:id="27" w:name="_Toc99635390"/>
      <w:bookmarkStart w:id="28" w:name="_Toc32505"/>
      <w:r>
        <w:rPr>
          <w:szCs w:val="24"/>
        </w:rPr>
        <w:t>范围</w:t>
      </w:r>
      <w:bookmarkEnd w:id="21"/>
      <w:bookmarkEnd w:id="22"/>
      <w:bookmarkEnd w:id="23"/>
      <w:bookmarkEnd w:id="24"/>
      <w:bookmarkEnd w:id="25"/>
      <w:bookmarkEnd w:id="26"/>
      <w:bookmarkEnd w:id="27"/>
      <w:bookmarkEnd w:id="28"/>
    </w:p>
    <w:p w14:paraId="5DD2A149">
      <w:pPr>
        <w:autoSpaceDE w:val="0"/>
        <w:autoSpaceDN w:val="0"/>
        <w:spacing w:line="360" w:lineRule="auto"/>
        <w:ind w:firstLine="480" w:firstLineChars="200"/>
        <w:rPr>
          <w:sz w:val="24"/>
        </w:rPr>
      </w:pPr>
      <w:bookmarkStart w:id="29" w:name="_Hlk195107685"/>
      <w:bookmarkStart w:id="30" w:name="_Toc4803"/>
      <w:bookmarkStart w:id="31" w:name="_Toc8600"/>
      <w:bookmarkStart w:id="32" w:name="_Toc26913"/>
      <w:bookmarkStart w:id="33" w:name="_Toc73367153"/>
      <w:bookmarkStart w:id="34" w:name="_Toc99635391"/>
      <w:bookmarkStart w:id="35" w:name="_Toc7758"/>
      <w:bookmarkStart w:id="36" w:name="_Toc753"/>
      <w:r>
        <w:rPr>
          <w:rFonts w:hint="eastAsia"/>
          <w:sz w:val="24"/>
        </w:rPr>
        <w:t>本校准规范适用于润滑油空气释放值测定仪的校准。</w:t>
      </w:r>
    </w:p>
    <w:bookmarkEnd w:id="29"/>
    <w:p w14:paraId="7482458F">
      <w:pPr>
        <w:pStyle w:val="2"/>
        <w:numPr>
          <w:ilvl w:val="0"/>
          <w:numId w:val="1"/>
        </w:numPr>
        <w:spacing w:before="0" w:after="0"/>
        <w:rPr>
          <w:szCs w:val="24"/>
        </w:rPr>
      </w:pPr>
      <w:bookmarkStart w:id="37" w:name="_Toc196840007"/>
      <w:r>
        <w:rPr>
          <w:rFonts w:hint="eastAsia"/>
          <w:szCs w:val="24"/>
        </w:rPr>
        <w:t>引用文件</w:t>
      </w:r>
      <w:bookmarkEnd w:id="37"/>
    </w:p>
    <w:p w14:paraId="44B36933">
      <w:pPr>
        <w:spacing w:line="360" w:lineRule="auto"/>
        <w:ind w:firstLine="480" w:firstLineChars="200"/>
        <w:rPr>
          <w:sz w:val="24"/>
          <w:szCs w:val="24"/>
        </w:rPr>
      </w:pPr>
      <w:r>
        <w:rPr>
          <w:rFonts w:hint="eastAsia"/>
          <w:sz w:val="24"/>
          <w:szCs w:val="24"/>
        </w:rPr>
        <w:t>本规范引用了下列文件：</w:t>
      </w:r>
    </w:p>
    <w:p w14:paraId="7AF01603">
      <w:pPr>
        <w:spacing w:line="360" w:lineRule="auto"/>
        <w:ind w:firstLine="480" w:firstLineChars="200"/>
        <w:rPr>
          <w:sz w:val="24"/>
        </w:rPr>
      </w:pPr>
      <w:bookmarkStart w:id="38" w:name="_Hlk195106262"/>
      <w:r>
        <w:rPr>
          <w:rFonts w:hint="eastAsia"/>
          <w:sz w:val="24"/>
        </w:rPr>
        <w:t>JJG 42—2023  工作玻璃浮计</w:t>
      </w:r>
    </w:p>
    <w:p w14:paraId="4DD9E3C4">
      <w:pPr>
        <w:spacing w:line="360" w:lineRule="auto"/>
        <w:ind w:firstLine="480" w:firstLineChars="200"/>
        <w:rPr>
          <w:sz w:val="24"/>
          <w:szCs w:val="24"/>
        </w:rPr>
      </w:pPr>
      <w:r>
        <w:rPr>
          <w:rFonts w:hint="eastAsia"/>
          <w:sz w:val="24"/>
          <w:szCs w:val="24"/>
        </w:rPr>
        <w:t>JJG 52—2013  弹性元件式一般压力表、压力真空表和真空表</w:t>
      </w:r>
    </w:p>
    <w:p w14:paraId="1608B851">
      <w:pPr>
        <w:spacing w:line="360" w:lineRule="auto"/>
        <w:ind w:firstLine="480" w:firstLineChars="200"/>
        <w:rPr>
          <w:sz w:val="24"/>
        </w:rPr>
      </w:pPr>
      <w:bookmarkStart w:id="39" w:name="OLE_LINK45"/>
      <w:bookmarkStart w:id="40" w:name="_Hlk204352106"/>
      <w:r>
        <w:rPr>
          <w:rFonts w:hint="eastAsia"/>
          <w:sz w:val="24"/>
        </w:rPr>
        <w:t>JJG 99—2022  砝码</w:t>
      </w:r>
    </w:p>
    <w:bookmarkEnd w:id="39"/>
    <w:bookmarkEnd w:id="40"/>
    <w:p w14:paraId="7FC5C2D7">
      <w:pPr>
        <w:spacing w:line="360" w:lineRule="auto"/>
        <w:ind w:firstLine="480" w:firstLineChars="200"/>
        <w:rPr>
          <w:sz w:val="24"/>
        </w:rPr>
      </w:pPr>
      <w:r>
        <w:rPr>
          <w:rFonts w:hint="eastAsia"/>
          <w:sz w:val="24"/>
        </w:rPr>
        <w:t>JJF 1847—2020  电子天平</w:t>
      </w:r>
    </w:p>
    <w:p w14:paraId="79C74ECE">
      <w:pPr>
        <w:spacing w:line="360" w:lineRule="auto"/>
        <w:ind w:firstLine="480" w:firstLineChars="200"/>
        <w:rPr>
          <w:sz w:val="24"/>
        </w:rPr>
      </w:pPr>
      <w:bookmarkStart w:id="41" w:name="_Hlk203661584"/>
      <w:r>
        <w:rPr>
          <w:rFonts w:hint="eastAsia"/>
          <w:sz w:val="24"/>
        </w:rPr>
        <w:t xml:space="preserve">JJF 2019—2022  </w:t>
      </w:r>
      <w:bookmarkStart w:id="42" w:name="_Hlk202361927"/>
      <w:r>
        <w:rPr>
          <w:rFonts w:hint="eastAsia"/>
          <w:sz w:val="24"/>
        </w:rPr>
        <w:t>液体恒温试验设备温度性能测试</w:t>
      </w:r>
      <w:bookmarkEnd w:id="42"/>
    </w:p>
    <w:bookmarkEnd w:id="41"/>
    <w:p w14:paraId="01E20DFA">
      <w:pPr>
        <w:spacing w:line="360" w:lineRule="auto"/>
        <w:ind w:firstLine="480" w:firstLineChars="200"/>
        <w:rPr>
          <w:sz w:val="24"/>
          <w:szCs w:val="24"/>
        </w:rPr>
      </w:pPr>
      <w:r>
        <w:rPr>
          <w:rFonts w:hint="eastAsia"/>
          <w:sz w:val="24"/>
          <w:szCs w:val="24"/>
        </w:rPr>
        <w:t>SH/T 0308—1992（2004） 润滑油空气释放值测定法</w:t>
      </w:r>
    </w:p>
    <w:bookmarkEnd w:id="38"/>
    <w:p w14:paraId="7FE9EFD3">
      <w:pPr>
        <w:spacing w:line="360" w:lineRule="auto"/>
        <w:ind w:firstLine="480" w:firstLineChars="200"/>
        <w:rPr>
          <w:rFonts w:hint="eastAsia" w:hAnsi="宋体"/>
          <w:sz w:val="24"/>
        </w:rPr>
      </w:pPr>
      <w:r>
        <w:rPr>
          <w:rFonts w:hint="eastAsia" w:hAnsi="宋体"/>
          <w:sz w:val="24"/>
        </w:rPr>
        <w:t>凡是注日期的引用文件，仅注日期的版本适用于本规范；凡是不注日期的引用文件，其最新版本（包括所有的修改单）适用于本规范。</w:t>
      </w:r>
      <w:bookmarkStart w:id="43" w:name="_Toc280797950"/>
      <w:bookmarkEnd w:id="43"/>
      <w:bookmarkStart w:id="44" w:name="_Toc280809971"/>
      <w:bookmarkEnd w:id="44"/>
      <w:bookmarkStart w:id="45" w:name="_Toc280799920"/>
      <w:bookmarkEnd w:id="45"/>
      <w:bookmarkStart w:id="46" w:name="_Toc280799939"/>
      <w:bookmarkEnd w:id="46"/>
      <w:bookmarkStart w:id="47" w:name="_Toc279140152"/>
      <w:bookmarkEnd w:id="47"/>
      <w:bookmarkStart w:id="48" w:name="_Toc280797973"/>
      <w:bookmarkEnd w:id="48"/>
      <w:bookmarkStart w:id="49" w:name="_Toc280797949"/>
      <w:bookmarkEnd w:id="49"/>
      <w:bookmarkStart w:id="50" w:name="_Toc280797927"/>
      <w:bookmarkEnd w:id="50"/>
      <w:bookmarkStart w:id="51" w:name="_Toc279140151"/>
      <w:bookmarkEnd w:id="51"/>
      <w:bookmarkStart w:id="52" w:name="_Toc280809970"/>
      <w:bookmarkEnd w:id="52"/>
      <w:bookmarkStart w:id="53" w:name="_Toc280797972"/>
      <w:bookmarkEnd w:id="53"/>
      <w:bookmarkStart w:id="54" w:name="_Toc280799919"/>
      <w:bookmarkEnd w:id="54"/>
      <w:bookmarkStart w:id="55" w:name="_Toc278474420"/>
      <w:bookmarkEnd w:id="55"/>
      <w:bookmarkStart w:id="56" w:name="_Toc278474421"/>
      <w:bookmarkEnd w:id="56"/>
      <w:bookmarkStart w:id="57" w:name="_Toc280799940"/>
      <w:bookmarkEnd w:id="57"/>
      <w:bookmarkStart w:id="58" w:name="_Toc280797926"/>
      <w:bookmarkEnd w:id="58"/>
    </w:p>
    <w:p w14:paraId="4CA26B43">
      <w:pPr>
        <w:pStyle w:val="2"/>
        <w:numPr>
          <w:ilvl w:val="0"/>
          <w:numId w:val="1"/>
        </w:numPr>
        <w:adjustRightInd w:val="0"/>
        <w:snapToGrid w:val="0"/>
        <w:spacing w:before="0" w:after="0"/>
        <w:rPr>
          <w:szCs w:val="24"/>
        </w:rPr>
      </w:pPr>
      <w:bookmarkStart w:id="59" w:name="_Toc196840008"/>
      <w:r>
        <w:rPr>
          <w:szCs w:val="24"/>
        </w:rPr>
        <w:t>概述</w:t>
      </w:r>
      <w:bookmarkEnd w:id="30"/>
      <w:bookmarkEnd w:id="31"/>
      <w:bookmarkEnd w:id="32"/>
      <w:bookmarkEnd w:id="33"/>
      <w:bookmarkEnd w:id="34"/>
      <w:bookmarkEnd w:id="35"/>
      <w:bookmarkEnd w:id="36"/>
      <w:bookmarkEnd w:id="59"/>
    </w:p>
    <w:p w14:paraId="2FBA7A9C">
      <w:pPr>
        <w:widowControl/>
        <w:shd w:val="clear" w:color="auto" w:fill="FFFFFF"/>
        <w:spacing w:line="360" w:lineRule="auto"/>
        <w:ind w:firstLine="480" w:firstLineChars="200"/>
        <w:rPr>
          <w:sz w:val="24"/>
        </w:rPr>
      </w:pPr>
      <w:bookmarkStart w:id="60" w:name="_Hlk203661521"/>
      <w:bookmarkStart w:id="61" w:name="_Toc73367154"/>
      <w:bookmarkStart w:id="62" w:name="_Toc17267"/>
      <w:bookmarkStart w:id="63" w:name="_Toc19741"/>
      <w:bookmarkStart w:id="64" w:name="_Toc2450"/>
      <w:bookmarkStart w:id="65" w:name="_Toc99635392"/>
      <w:bookmarkStart w:id="66" w:name="_Toc13208"/>
      <w:bookmarkStart w:id="67" w:name="_Toc20457"/>
      <w:r>
        <w:rPr>
          <w:rFonts w:hint="eastAsia"/>
          <w:sz w:val="24"/>
        </w:rPr>
        <w:t>润滑油</w:t>
      </w:r>
      <w:bookmarkStart w:id="68" w:name="OLE_LINK32"/>
      <w:r>
        <w:rPr>
          <w:rFonts w:hint="eastAsia"/>
          <w:sz w:val="24"/>
        </w:rPr>
        <w:t>空气释放值测定仪</w:t>
      </w:r>
      <w:bookmarkEnd w:id="68"/>
      <w:r>
        <w:rPr>
          <w:rFonts w:hint="eastAsia"/>
          <w:sz w:val="24"/>
        </w:rPr>
        <w:t>（以下简称空气释放值测定仪）的工作原理是将试样加热到25 ℃，50 ℃或75 ℃，通过对试样吹入过量的压缩空气，使试样剧烈搅动，空气在试样中形成小气泡，即雾沫空气。停气后记录试样中雾沫空气体积减到0.2%的时间，该时间即为试样的空气释放值。</w:t>
      </w:r>
    </w:p>
    <w:p w14:paraId="460F53EC">
      <w:pPr>
        <w:widowControl/>
        <w:shd w:val="clear" w:color="auto" w:fill="FFFFFF"/>
        <w:spacing w:line="360" w:lineRule="auto"/>
        <w:ind w:firstLine="480" w:firstLineChars="200"/>
        <w:rPr>
          <w:sz w:val="24"/>
        </w:rPr>
      </w:pPr>
      <w:r>
        <w:rPr>
          <w:rFonts w:hint="eastAsia"/>
          <w:sz w:val="24"/>
        </w:rPr>
        <w:t>根据空气释放值测定仪的气泡释放终点监测方式的不同，目前市场上的空气释放值测定仪可分为以下两类：</w:t>
      </w:r>
    </w:p>
    <w:p w14:paraId="3468A82F">
      <w:pPr>
        <w:widowControl/>
        <w:shd w:val="clear" w:color="auto" w:fill="FFFFFF"/>
        <w:spacing w:line="360" w:lineRule="auto"/>
        <w:ind w:firstLine="480" w:firstLineChars="200"/>
        <w:rPr>
          <w:sz w:val="24"/>
        </w:rPr>
      </w:pPr>
      <w:r>
        <w:rPr>
          <w:rFonts w:hint="eastAsia"/>
          <w:sz w:val="24"/>
        </w:rPr>
        <w:t>基于密度计监测原理的空气释放值测定仪</w:t>
      </w:r>
      <w:r>
        <w:rPr>
          <w:sz w:val="24"/>
          <w:szCs w:val="24"/>
        </w:rPr>
        <w:t>——</w:t>
      </w:r>
      <w:r>
        <w:rPr>
          <w:rFonts w:hint="eastAsia"/>
          <w:sz w:val="24"/>
        </w:rPr>
        <w:t xml:space="preserve">停气后，通过密度计实时监测试样的密度变化，当密度计的值变化到空气体积减少至0.2%处，也即密度减少0.0017 </w:t>
      </w:r>
      <w:bookmarkStart w:id="69" w:name="OLE_LINK5"/>
      <w:r>
        <w:rPr>
          <w:rFonts w:hint="eastAsia"/>
          <w:sz w:val="24"/>
        </w:rPr>
        <w:t>g/cm</w:t>
      </w:r>
      <w:r>
        <w:rPr>
          <w:rFonts w:hint="eastAsia"/>
          <w:sz w:val="24"/>
          <w:vertAlign w:val="superscript"/>
        </w:rPr>
        <w:t>3</w:t>
      </w:r>
      <w:r>
        <w:rPr>
          <w:rFonts w:hint="eastAsia"/>
          <w:sz w:val="24"/>
        </w:rPr>
        <w:t>时</w:t>
      </w:r>
      <w:bookmarkEnd w:id="69"/>
      <w:r>
        <w:rPr>
          <w:rFonts w:hint="eastAsia"/>
          <w:sz w:val="24"/>
        </w:rPr>
        <w:t>，记录停气到此点的时间。其主要由压力表、空气加热炉、温度计、耐热夹套玻璃试管、循环水浴和密度计等组成。</w:t>
      </w:r>
    </w:p>
    <w:p w14:paraId="2E08F575">
      <w:pPr>
        <w:widowControl/>
        <w:shd w:val="clear" w:color="auto" w:fill="FFFFFF"/>
        <w:spacing w:line="360" w:lineRule="auto"/>
        <w:ind w:firstLine="480" w:firstLineChars="200"/>
        <w:rPr>
          <w:sz w:val="24"/>
        </w:rPr>
      </w:pPr>
      <w:bookmarkStart w:id="70" w:name="_Hlk204619324"/>
      <w:r>
        <w:rPr>
          <w:rFonts w:hint="eastAsia"/>
          <w:sz w:val="24"/>
        </w:rPr>
        <w:t>基于天平监测原理的空气释放值测定仪</w:t>
      </w:r>
      <w:r>
        <w:rPr>
          <w:sz w:val="24"/>
          <w:szCs w:val="24"/>
        </w:rPr>
        <w:t>——</w:t>
      </w:r>
      <w:r>
        <w:rPr>
          <w:rFonts w:hint="eastAsia"/>
          <w:sz w:val="24"/>
        </w:rPr>
        <w:t>停气后，通过天平实时监测试样中沉锤的质量变化，再根据阿基米德原理推算试样的密度变化，当沉锤在试样中的质量变化到空气体积减少至0.2%处，也即密度减少0.0017 g/cm</w:t>
      </w:r>
      <w:r>
        <w:rPr>
          <w:rFonts w:hint="eastAsia"/>
          <w:sz w:val="24"/>
          <w:vertAlign w:val="superscript"/>
        </w:rPr>
        <w:t>3</w:t>
      </w:r>
      <w:r>
        <w:rPr>
          <w:rFonts w:hint="eastAsia"/>
          <w:sz w:val="24"/>
        </w:rPr>
        <w:t>时，记录停气到此点的时间。其主要由压力表、空气加热炉、温度计、耐热夹套玻璃试管、循环水浴和天平等组成。</w:t>
      </w:r>
    </w:p>
    <w:bookmarkEnd w:id="60"/>
    <w:bookmarkEnd w:id="70"/>
    <w:p w14:paraId="6C17B7DF">
      <w:pPr>
        <w:pStyle w:val="2"/>
        <w:numPr>
          <w:ilvl w:val="0"/>
          <w:numId w:val="1"/>
        </w:numPr>
        <w:spacing w:before="0" w:after="0"/>
      </w:pPr>
      <w:bookmarkStart w:id="71" w:name="_Toc196840009"/>
      <w:r>
        <w:t>计量特性</w:t>
      </w:r>
      <w:bookmarkEnd w:id="61"/>
      <w:bookmarkEnd w:id="62"/>
      <w:bookmarkEnd w:id="63"/>
      <w:bookmarkEnd w:id="64"/>
      <w:bookmarkEnd w:id="65"/>
      <w:bookmarkEnd w:id="66"/>
      <w:bookmarkEnd w:id="67"/>
      <w:bookmarkEnd w:id="71"/>
      <w:bookmarkStart w:id="72" w:name="_Toc9668"/>
      <w:bookmarkStart w:id="73" w:name="_Toc73367155"/>
      <w:bookmarkStart w:id="74" w:name="_Toc18680"/>
      <w:bookmarkStart w:id="75" w:name="_Toc29025"/>
      <w:bookmarkStart w:id="76" w:name="_Toc14062"/>
      <w:bookmarkStart w:id="77" w:name="_Toc7487"/>
      <w:bookmarkStart w:id="78" w:name="_Toc99635393"/>
      <w:bookmarkStart w:id="79" w:name="_Toc462838179"/>
    </w:p>
    <w:p w14:paraId="64F5D4FB">
      <w:pPr>
        <w:spacing w:line="360" w:lineRule="auto"/>
        <w:outlineLvl w:val="1"/>
        <w:rPr>
          <w:rFonts w:eastAsia="黑体"/>
          <w:bCs/>
          <w:sz w:val="24"/>
          <w:szCs w:val="32"/>
        </w:rPr>
      </w:pPr>
      <w:r>
        <w:rPr>
          <w:rFonts w:hint="eastAsia" w:eastAsia="黑体"/>
          <w:bCs/>
          <w:sz w:val="24"/>
          <w:szCs w:val="32"/>
        </w:rPr>
        <w:t xml:space="preserve">4.1 </w:t>
      </w:r>
      <w:r>
        <w:rPr>
          <w:rFonts w:hint="eastAsia" w:asciiTheme="minorEastAsia" w:hAnsiTheme="minorEastAsia" w:eastAsiaTheme="minorEastAsia"/>
          <w:bCs/>
          <w:sz w:val="24"/>
          <w:szCs w:val="32"/>
        </w:rPr>
        <w:t>空气释放值测定仪的计量特性</w:t>
      </w:r>
    </w:p>
    <w:p w14:paraId="0F4DE18E">
      <w:pPr>
        <w:spacing w:line="360" w:lineRule="auto"/>
        <w:ind w:firstLine="480" w:firstLineChars="200"/>
        <w:rPr>
          <w:sz w:val="24"/>
          <w:szCs w:val="24"/>
        </w:rPr>
      </w:pPr>
      <w:r>
        <w:rPr>
          <w:rFonts w:hint="eastAsia"/>
          <w:sz w:val="24"/>
          <w:szCs w:val="24"/>
        </w:rPr>
        <w:t>空气释放值测定仪的计量特性见表1。</w:t>
      </w:r>
    </w:p>
    <w:p w14:paraId="45F87B79">
      <w:pPr>
        <w:jc w:val="center"/>
        <w:rPr>
          <w:rFonts w:hint="eastAsia" w:ascii="黑体" w:hAnsi="黑体" w:eastAsia="黑体"/>
          <w:szCs w:val="21"/>
        </w:rPr>
      </w:pPr>
      <w:r>
        <w:rPr>
          <w:rFonts w:hint="eastAsia" w:ascii="黑体" w:hAnsi="黑体" w:eastAsia="黑体"/>
          <w:szCs w:val="21"/>
        </w:rPr>
        <w:t>表1  计量特性</w:t>
      </w:r>
    </w:p>
    <w:tbl>
      <w:tblPr>
        <w:tblStyle w:val="3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0"/>
        <w:gridCol w:w="4756"/>
      </w:tblGrid>
      <w:tr w14:paraId="55353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39" w:type="pct"/>
            <w:vAlign w:val="center"/>
          </w:tcPr>
          <w:p w14:paraId="68A5A613">
            <w:pPr>
              <w:jc w:val="center"/>
              <w:rPr>
                <w:rFonts w:ascii="Times New Roman" w:hAnsi="Times New Roman"/>
                <w:szCs w:val="21"/>
              </w:rPr>
            </w:pPr>
            <w:r>
              <w:rPr>
                <w:rFonts w:ascii="Times New Roman" w:hAnsi="Times New Roman"/>
                <w:szCs w:val="21"/>
              </w:rPr>
              <w:t>项目</w:t>
            </w:r>
          </w:p>
        </w:tc>
        <w:tc>
          <w:tcPr>
            <w:tcW w:w="2561" w:type="pct"/>
            <w:vAlign w:val="center"/>
          </w:tcPr>
          <w:p w14:paraId="15E033F0">
            <w:pPr>
              <w:jc w:val="center"/>
              <w:rPr>
                <w:rFonts w:ascii="Times New Roman" w:hAnsi="Times New Roman"/>
                <w:szCs w:val="21"/>
              </w:rPr>
            </w:pPr>
            <w:r>
              <w:rPr>
                <w:rFonts w:ascii="Times New Roman" w:hAnsi="Times New Roman"/>
                <w:szCs w:val="21"/>
              </w:rPr>
              <w:t>技术要求</w:t>
            </w:r>
          </w:p>
        </w:tc>
      </w:tr>
      <w:tr w14:paraId="28637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39" w:type="pct"/>
            <w:vAlign w:val="center"/>
          </w:tcPr>
          <w:p w14:paraId="7537D2FF">
            <w:pPr>
              <w:jc w:val="center"/>
              <w:rPr>
                <w:rFonts w:ascii="Times New Roman" w:hAnsi="Times New Roman"/>
                <w:szCs w:val="21"/>
              </w:rPr>
            </w:pPr>
            <w:bookmarkStart w:id="80" w:name="_Hlk205543885"/>
            <w:r>
              <w:rPr>
                <w:rFonts w:hint="eastAsia" w:ascii="Times New Roman" w:hAnsi="Times New Roman"/>
                <w:szCs w:val="21"/>
              </w:rPr>
              <w:t>循环</w:t>
            </w:r>
            <w:r>
              <w:rPr>
                <w:rFonts w:ascii="Times New Roman" w:hAnsi="Times New Roman"/>
                <w:szCs w:val="21"/>
              </w:rPr>
              <w:t>水浴温度示值误差</w:t>
            </w:r>
          </w:p>
        </w:tc>
        <w:tc>
          <w:tcPr>
            <w:tcW w:w="2561" w:type="pct"/>
            <w:vAlign w:val="center"/>
          </w:tcPr>
          <w:p w14:paraId="00A72C84">
            <w:pPr>
              <w:jc w:val="center"/>
              <w:rPr>
                <w:rFonts w:ascii="Times New Roman" w:hAnsi="Times New Roman"/>
                <w:szCs w:val="21"/>
              </w:rPr>
            </w:pPr>
            <w:bookmarkStart w:id="81" w:name="OLE_LINK15"/>
            <w:r>
              <w:rPr>
                <w:rFonts w:ascii="Times New Roman" w:hAnsi="Times New Roman"/>
                <w:szCs w:val="21"/>
              </w:rPr>
              <w:t>±1</w:t>
            </w:r>
            <w:r>
              <w:rPr>
                <w:rFonts w:hint="eastAsia" w:ascii="Times New Roman" w:hAnsi="Times New Roman"/>
                <w:szCs w:val="21"/>
              </w:rPr>
              <w:t xml:space="preserve"> </w:t>
            </w:r>
            <w:r>
              <w:rPr>
                <w:rFonts w:ascii="Times New Roman" w:hAnsi="Times New Roman"/>
                <w:szCs w:val="21"/>
              </w:rPr>
              <w:t>℃</w:t>
            </w:r>
            <w:bookmarkEnd w:id="81"/>
          </w:p>
        </w:tc>
      </w:tr>
      <w:tr w14:paraId="38C11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39" w:type="pct"/>
            <w:vAlign w:val="center"/>
          </w:tcPr>
          <w:p w14:paraId="585BA92A">
            <w:pPr>
              <w:jc w:val="center"/>
              <w:rPr>
                <w:rFonts w:ascii="Calibri" w:hAnsi="Calibri"/>
                <w:szCs w:val="21"/>
              </w:rPr>
            </w:pPr>
            <w:r>
              <w:rPr>
                <w:rFonts w:hint="eastAsia" w:ascii="Calibri" w:hAnsi="Calibri"/>
                <w:szCs w:val="21"/>
              </w:rPr>
              <w:t>空气温度示值误差</w:t>
            </w:r>
          </w:p>
        </w:tc>
        <w:tc>
          <w:tcPr>
            <w:tcW w:w="2561" w:type="pct"/>
            <w:vAlign w:val="center"/>
          </w:tcPr>
          <w:p w14:paraId="6C4546FC">
            <w:pPr>
              <w:jc w:val="center"/>
              <w:rPr>
                <w:rFonts w:ascii="Calibri" w:hAnsi="Calibri"/>
                <w:szCs w:val="21"/>
              </w:rPr>
            </w:pPr>
            <w:r>
              <w:rPr>
                <w:rFonts w:ascii="Times New Roman" w:hAnsi="Times New Roman"/>
                <w:szCs w:val="21"/>
              </w:rPr>
              <w:t>±</w:t>
            </w:r>
            <w:r>
              <w:rPr>
                <w:rFonts w:hint="eastAsia" w:ascii="Times New Roman" w:hAnsi="Times New Roman"/>
                <w:szCs w:val="21"/>
              </w:rPr>
              <w:t xml:space="preserve">5 </w:t>
            </w:r>
            <w:r>
              <w:rPr>
                <w:rFonts w:ascii="Times New Roman" w:hAnsi="Times New Roman"/>
                <w:szCs w:val="21"/>
              </w:rPr>
              <w:t>℃</w:t>
            </w:r>
          </w:p>
        </w:tc>
      </w:tr>
      <w:tr w14:paraId="7E4F4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39" w:type="pct"/>
            <w:vAlign w:val="center"/>
          </w:tcPr>
          <w:p w14:paraId="7A2F2AD5">
            <w:pPr>
              <w:jc w:val="center"/>
              <w:rPr>
                <w:rFonts w:ascii="Times New Roman" w:hAnsi="Times New Roman"/>
                <w:szCs w:val="21"/>
              </w:rPr>
            </w:pPr>
            <w:r>
              <w:rPr>
                <w:rFonts w:ascii="Times New Roman" w:hAnsi="Times New Roman"/>
                <w:szCs w:val="21"/>
              </w:rPr>
              <w:t>压力示值误差</w:t>
            </w:r>
          </w:p>
        </w:tc>
        <w:tc>
          <w:tcPr>
            <w:tcW w:w="2561" w:type="pct"/>
            <w:vAlign w:val="center"/>
          </w:tcPr>
          <w:p w14:paraId="3D0B8738">
            <w:pPr>
              <w:jc w:val="center"/>
              <w:rPr>
                <w:rFonts w:ascii="Times New Roman" w:hAnsi="Times New Roman"/>
                <w:szCs w:val="21"/>
              </w:rPr>
            </w:pPr>
            <w:r>
              <w:rPr>
                <w:rFonts w:ascii="Times New Roman" w:hAnsi="Times New Roman"/>
                <w:szCs w:val="21"/>
              </w:rPr>
              <w:t>±</w:t>
            </w:r>
            <w:r>
              <w:rPr>
                <w:rFonts w:hint="eastAsia" w:ascii="Times New Roman" w:hAnsi="Times New Roman"/>
                <w:szCs w:val="21"/>
              </w:rPr>
              <w:t>2.5 kPa</w:t>
            </w:r>
          </w:p>
        </w:tc>
      </w:tr>
      <w:tr w14:paraId="0DDF7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439" w:type="pct"/>
            <w:vAlign w:val="center"/>
          </w:tcPr>
          <w:p w14:paraId="271AEC89">
            <w:pPr>
              <w:jc w:val="center"/>
              <w:rPr>
                <w:rFonts w:ascii="Calibri" w:hAnsi="Calibri"/>
                <w:szCs w:val="21"/>
              </w:rPr>
            </w:pPr>
            <w:bookmarkStart w:id="82" w:name="_Hlk196663720"/>
            <w:r>
              <w:rPr>
                <w:rFonts w:hint="eastAsia" w:ascii="Times New Roman" w:hAnsi="Times New Roman"/>
                <w:szCs w:val="21"/>
              </w:rPr>
              <w:t>*</w:t>
            </w:r>
            <w:r>
              <w:rPr>
                <w:rFonts w:hint="eastAsia" w:ascii="Calibri" w:hAnsi="Calibri"/>
                <w:szCs w:val="21"/>
              </w:rPr>
              <w:t>称量示值误差</w:t>
            </w:r>
          </w:p>
        </w:tc>
        <w:tc>
          <w:tcPr>
            <w:tcW w:w="2561" w:type="pct"/>
            <w:vAlign w:val="center"/>
          </w:tcPr>
          <w:p w14:paraId="7363F27A">
            <w:pPr>
              <w:jc w:val="center"/>
              <w:rPr>
                <w:rFonts w:ascii="Calibri" w:hAnsi="Calibri"/>
                <w:strike/>
                <w:szCs w:val="21"/>
              </w:rPr>
            </w:pPr>
            <w:r>
              <w:rPr>
                <w:rFonts w:ascii="Times New Roman" w:hAnsi="Times New Roman"/>
                <w:szCs w:val="21"/>
              </w:rPr>
              <w:t>±</w:t>
            </w:r>
            <w:r>
              <w:rPr>
                <w:rFonts w:hint="eastAsia" w:ascii="Times New Roman" w:hAnsi="Times New Roman"/>
                <w:szCs w:val="21"/>
              </w:rPr>
              <w:t>3 mg</w:t>
            </w:r>
          </w:p>
        </w:tc>
      </w:tr>
      <w:bookmarkEnd w:id="80"/>
      <w:bookmarkEnd w:id="82"/>
      <w:tr w14:paraId="195E9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2"/>
            <w:vAlign w:val="center"/>
          </w:tcPr>
          <w:p w14:paraId="7658D902">
            <w:pPr>
              <w:rPr>
                <w:rFonts w:ascii="Calibri" w:hAnsi="Calibri" w:eastAsia="仿宋"/>
                <w:szCs w:val="22"/>
              </w:rPr>
            </w:pPr>
            <w:bookmarkStart w:id="83" w:name="OLE_LINK23"/>
            <w:r>
              <w:rPr>
                <w:rFonts w:hint="eastAsia" w:ascii="Times New Roman" w:hAnsi="Times New Roman"/>
                <w:szCs w:val="21"/>
              </w:rPr>
              <w:t>*</w:t>
            </w:r>
            <w:bookmarkEnd w:id="83"/>
            <w:r>
              <w:rPr>
                <w:rFonts w:hint="eastAsia" w:ascii="Times New Roman" w:hAnsi="Times New Roman" w:eastAsia="仿宋"/>
                <w:szCs w:val="21"/>
              </w:rPr>
              <w:t>基于密度计监测原理的空气释放值测定仪，不做称量示值误差</w:t>
            </w:r>
            <w:r>
              <w:rPr>
                <w:rFonts w:ascii="Times New Roman" w:hAnsi="Times New Roman" w:eastAsia="仿宋"/>
                <w:szCs w:val="21"/>
              </w:rPr>
              <w:t>。</w:t>
            </w:r>
          </w:p>
          <w:p w14:paraId="257ADAA5">
            <w:pPr>
              <w:rPr>
                <w:rFonts w:ascii="Times New Roman" w:hAnsi="Times New Roman" w:eastAsia="仿宋"/>
                <w:szCs w:val="21"/>
              </w:rPr>
            </w:pPr>
            <w:r>
              <w:rPr>
                <w:rFonts w:hint="eastAsia" w:ascii="Calibri" w:hAnsi="Calibri" w:eastAsia="仿宋"/>
                <w:szCs w:val="22"/>
              </w:rPr>
              <w:t>注：</w:t>
            </w:r>
            <w:r>
              <w:rPr>
                <w:rFonts w:ascii="Calibri" w:hAnsi="Calibri" w:eastAsia="仿宋"/>
                <w:szCs w:val="22"/>
              </w:rPr>
              <w:t>以上指标不适用于合格性判别，仅供参考。</w:t>
            </w:r>
          </w:p>
        </w:tc>
      </w:tr>
    </w:tbl>
    <w:p w14:paraId="6E598C19">
      <w:pPr>
        <w:rPr>
          <w:szCs w:val="21"/>
        </w:rPr>
      </w:pPr>
    </w:p>
    <w:p w14:paraId="61CF777E">
      <w:pPr>
        <w:pStyle w:val="3"/>
        <w:rPr>
          <w:rFonts w:hint="eastAsia" w:asciiTheme="minorEastAsia" w:hAnsiTheme="minorEastAsia" w:eastAsiaTheme="minorEastAsia"/>
        </w:rPr>
      </w:pPr>
      <w:r>
        <w:rPr>
          <w:rFonts w:hint="eastAsia"/>
        </w:rPr>
        <w:t>4</w:t>
      </w:r>
      <w:r>
        <w:t>.</w:t>
      </w:r>
      <w:r>
        <w:rPr>
          <w:rFonts w:hint="eastAsia"/>
        </w:rPr>
        <w:t>2</w:t>
      </w:r>
      <w:r>
        <w:t xml:space="preserve"> </w:t>
      </w:r>
      <w:r>
        <w:rPr>
          <w:rFonts w:hint="eastAsia" w:asciiTheme="minorEastAsia" w:hAnsiTheme="minorEastAsia" w:eastAsiaTheme="minorEastAsia"/>
        </w:rPr>
        <w:t>空气释放值测定仪所配备密度计的计量特性</w:t>
      </w:r>
    </w:p>
    <w:p w14:paraId="7A87C1B6">
      <w:pPr>
        <w:spacing w:line="360" w:lineRule="auto"/>
        <w:ind w:firstLine="480" w:firstLineChars="200"/>
        <w:rPr>
          <w:sz w:val="24"/>
          <w:szCs w:val="24"/>
        </w:rPr>
      </w:pPr>
      <w:bookmarkStart w:id="84" w:name="_Hlk203663659"/>
      <w:r>
        <w:rPr>
          <w:rFonts w:hint="eastAsia"/>
          <w:sz w:val="24"/>
          <w:szCs w:val="24"/>
        </w:rPr>
        <w:t>按密度计进行校准，校准结果参考JJG 42的要求，密度计示值的最大允许误差</w:t>
      </w:r>
      <w:r>
        <w:rPr>
          <w:sz w:val="24"/>
          <w:szCs w:val="24"/>
        </w:rPr>
        <w:t>为</w:t>
      </w:r>
      <w:r>
        <w:rPr>
          <w:rFonts w:hint="eastAsia" w:ascii="宋体" w:hAnsi="宋体"/>
          <w:sz w:val="24"/>
          <w:szCs w:val="24"/>
        </w:rPr>
        <w:t>±</w:t>
      </w:r>
      <w:r>
        <w:rPr>
          <w:sz w:val="24"/>
          <w:szCs w:val="24"/>
        </w:rPr>
        <w:t>0.6个分度值。</w:t>
      </w:r>
    </w:p>
    <w:bookmarkEnd w:id="84"/>
    <w:p w14:paraId="4E992615">
      <w:pPr>
        <w:pStyle w:val="2"/>
        <w:numPr>
          <w:ilvl w:val="0"/>
          <w:numId w:val="1"/>
        </w:numPr>
        <w:spacing w:before="0" w:after="0"/>
      </w:pPr>
      <w:bookmarkStart w:id="85" w:name="_Toc196840010"/>
      <w:r>
        <w:t>校准条件</w:t>
      </w:r>
      <w:bookmarkEnd w:id="72"/>
      <w:bookmarkEnd w:id="73"/>
      <w:bookmarkEnd w:id="74"/>
      <w:bookmarkEnd w:id="75"/>
      <w:bookmarkEnd w:id="76"/>
      <w:bookmarkEnd w:id="77"/>
      <w:bookmarkEnd w:id="78"/>
      <w:bookmarkEnd w:id="79"/>
      <w:bookmarkEnd w:id="85"/>
    </w:p>
    <w:p w14:paraId="6456D5B5">
      <w:pPr>
        <w:pStyle w:val="3"/>
      </w:pPr>
      <w:bookmarkStart w:id="86" w:name="_Toc29019"/>
      <w:bookmarkStart w:id="87" w:name="_Toc6293"/>
      <w:bookmarkStart w:id="88" w:name="_Toc8270"/>
      <w:bookmarkStart w:id="89" w:name="_Toc10872"/>
      <w:bookmarkStart w:id="90" w:name="_Toc196840011"/>
      <w:bookmarkStart w:id="91" w:name="_Toc5738"/>
      <w:bookmarkStart w:id="92" w:name="_Toc73367156"/>
      <w:bookmarkStart w:id="93" w:name="_Toc462838180"/>
      <w:bookmarkStart w:id="94" w:name="OLE_LINK2"/>
      <w:bookmarkStart w:id="95" w:name="_Toc288815729"/>
      <w:r>
        <w:rPr>
          <w:rFonts w:hint="eastAsia"/>
        </w:rPr>
        <w:t>5</w:t>
      </w:r>
      <w:r>
        <w:t xml:space="preserve">.1 </w:t>
      </w:r>
      <w:r>
        <w:rPr>
          <w:rFonts w:asciiTheme="minorEastAsia" w:hAnsiTheme="minorEastAsia" w:eastAsiaTheme="minorEastAsia"/>
        </w:rPr>
        <w:t>环境条件</w:t>
      </w:r>
      <w:bookmarkEnd w:id="86"/>
      <w:bookmarkEnd w:id="87"/>
      <w:bookmarkEnd w:id="88"/>
      <w:bookmarkEnd w:id="89"/>
      <w:bookmarkEnd w:id="90"/>
      <w:bookmarkEnd w:id="91"/>
      <w:bookmarkEnd w:id="92"/>
      <w:bookmarkEnd w:id="93"/>
    </w:p>
    <w:bookmarkEnd w:id="94"/>
    <w:p w14:paraId="72517809">
      <w:pPr>
        <w:snapToGrid w:val="0"/>
        <w:spacing w:line="360" w:lineRule="auto"/>
        <w:rPr>
          <w:sz w:val="24"/>
          <w:szCs w:val="24"/>
        </w:rPr>
      </w:pPr>
      <w:bookmarkStart w:id="96" w:name="_Toc462838181"/>
      <w:r>
        <w:rPr>
          <w:rFonts w:hint="eastAsia"/>
          <w:sz w:val="24"/>
          <w:szCs w:val="24"/>
        </w:rPr>
        <w:t>5</w:t>
      </w:r>
      <w:r>
        <w:rPr>
          <w:sz w:val="24"/>
          <w:szCs w:val="24"/>
        </w:rPr>
        <w:t>.1.1 环境温度：</w:t>
      </w:r>
      <w:r>
        <w:rPr>
          <w:rFonts w:hint="eastAsia"/>
          <w:sz w:val="24"/>
          <w:szCs w:val="24"/>
        </w:rPr>
        <w:t>（15～35）</w:t>
      </w:r>
      <w:r>
        <w:rPr>
          <w:sz w:val="24"/>
          <w:szCs w:val="24"/>
        </w:rPr>
        <w:t>℃</w:t>
      </w:r>
      <w:r>
        <w:rPr>
          <w:rFonts w:hint="eastAsia"/>
          <w:sz w:val="24"/>
          <w:szCs w:val="24"/>
        </w:rPr>
        <w:t>；相对湿度：不大于</w:t>
      </w:r>
      <w:r>
        <w:rPr>
          <w:sz w:val="24"/>
          <w:szCs w:val="24"/>
        </w:rPr>
        <w:t>8</w:t>
      </w:r>
      <w:r>
        <w:rPr>
          <w:rFonts w:hint="eastAsia"/>
          <w:sz w:val="24"/>
          <w:szCs w:val="24"/>
        </w:rPr>
        <w:t>0</w:t>
      </w:r>
      <w:r>
        <w:rPr>
          <w:sz w:val="24"/>
          <w:szCs w:val="24"/>
        </w:rPr>
        <w:t>%</w:t>
      </w:r>
      <w:r>
        <w:rPr>
          <w:rFonts w:hint="eastAsia"/>
          <w:sz w:val="24"/>
          <w:szCs w:val="24"/>
        </w:rPr>
        <w:t>。</w:t>
      </w:r>
    </w:p>
    <w:p w14:paraId="3A76F811">
      <w:pPr>
        <w:snapToGrid w:val="0"/>
        <w:spacing w:line="360" w:lineRule="auto"/>
        <w:rPr>
          <w:sz w:val="24"/>
          <w:szCs w:val="24"/>
        </w:rPr>
      </w:pPr>
      <w:r>
        <w:rPr>
          <w:rFonts w:hint="eastAsia"/>
          <w:sz w:val="24"/>
          <w:szCs w:val="24"/>
        </w:rPr>
        <w:t>5</w:t>
      </w:r>
      <w:r>
        <w:rPr>
          <w:sz w:val="24"/>
          <w:szCs w:val="24"/>
        </w:rPr>
        <w:t xml:space="preserve">.1.2 </w:t>
      </w:r>
      <w:r>
        <w:rPr>
          <w:rFonts w:hint="eastAsia"/>
          <w:sz w:val="24"/>
          <w:szCs w:val="24"/>
        </w:rPr>
        <w:t>电源</w:t>
      </w:r>
      <w:r>
        <w:rPr>
          <w:sz w:val="24"/>
          <w:szCs w:val="24"/>
        </w:rPr>
        <w:t>：</w:t>
      </w:r>
      <w:bookmarkStart w:id="97" w:name="OLE_LINK64"/>
      <w:r>
        <w:rPr>
          <w:rFonts w:hint="eastAsia"/>
          <w:sz w:val="24"/>
          <w:szCs w:val="24"/>
        </w:rPr>
        <w:t>（2</w:t>
      </w:r>
      <w:r>
        <w:rPr>
          <w:sz w:val="24"/>
          <w:szCs w:val="24"/>
        </w:rPr>
        <w:t>20±22）V；频率：（50±0.5</w:t>
      </w:r>
      <w:r>
        <w:rPr>
          <w:rFonts w:hint="eastAsia"/>
          <w:sz w:val="24"/>
          <w:szCs w:val="24"/>
        </w:rPr>
        <w:t>）Hz。</w:t>
      </w:r>
      <w:bookmarkEnd w:id="97"/>
    </w:p>
    <w:p w14:paraId="01177554">
      <w:pPr>
        <w:pStyle w:val="3"/>
      </w:pPr>
      <w:bookmarkStart w:id="98" w:name="_Toc10572"/>
      <w:bookmarkStart w:id="99" w:name="_Toc23403"/>
      <w:bookmarkStart w:id="100" w:name="_Toc73367157"/>
      <w:bookmarkStart w:id="101" w:name="_Toc196840012"/>
      <w:bookmarkStart w:id="102" w:name="_Toc21196"/>
      <w:bookmarkStart w:id="103" w:name="_Toc28646"/>
      <w:bookmarkStart w:id="104" w:name="_Toc4091"/>
      <w:r>
        <w:rPr>
          <w:rFonts w:hint="eastAsia"/>
        </w:rPr>
        <w:t>5</w:t>
      </w:r>
      <w:r>
        <w:t xml:space="preserve">.2 </w:t>
      </w:r>
      <w:r>
        <w:rPr>
          <w:rFonts w:hint="eastAsia" w:asciiTheme="minorEastAsia" w:hAnsiTheme="minorEastAsia" w:eastAsiaTheme="minorEastAsia"/>
        </w:rPr>
        <w:t>测量标准及</w:t>
      </w:r>
      <w:r>
        <w:rPr>
          <w:rFonts w:asciiTheme="minorEastAsia" w:hAnsiTheme="minorEastAsia" w:eastAsiaTheme="minorEastAsia"/>
        </w:rPr>
        <w:t>其他设备</w:t>
      </w:r>
      <w:bookmarkEnd w:id="96"/>
      <w:bookmarkEnd w:id="98"/>
      <w:bookmarkEnd w:id="99"/>
      <w:bookmarkEnd w:id="100"/>
      <w:bookmarkEnd w:id="101"/>
      <w:bookmarkEnd w:id="102"/>
      <w:bookmarkEnd w:id="103"/>
      <w:bookmarkEnd w:id="104"/>
    </w:p>
    <w:p w14:paraId="2C7A667A">
      <w:pPr>
        <w:spacing w:line="360" w:lineRule="auto"/>
        <w:rPr>
          <w:sz w:val="24"/>
          <w:szCs w:val="24"/>
        </w:rPr>
      </w:pPr>
      <w:r>
        <w:rPr>
          <w:rFonts w:hint="eastAsia"/>
          <w:color w:val="000000"/>
          <w:sz w:val="24"/>
          <w:szCs w:val="24"/>
        </w:rPr>
        <w:t>5</w:t>
      </w:r>
      <w:r>
        <w:rPr>
          <w:color w:val="000000"/>
          <w:sz w:val="24"/>
          <w:szCs w:val="24"/>
        </w:rPr>
        <w:t>.2.1</w:t>
      </w:r>
      <w:bookmarkStart w:id="105" w:name="_Hlk195106579"/>
      <w:r>
        <w:rPr>
          <w:rFonts w:hint="eastAsia"/>
          <w:sz w:val="24"/>
          <w:szCs w:val="24"/>
        </w:rPr>
        <w:t>温度</w:t>
      </w:r>
      <w:bookmarkStart w:id="106" w:name="OLE_LINK33"/>
      <w:r>
        <w:rPr>
          <w:rFonts w:hint="eastAsia"/>
          <w:sz w:val="24"/>
          <w:szCs w:val="24"/>
        </w:rPr>
        <w:t>测量标准：</w:t>
      </w:r>
      <w:bookmarkStart w:id="107" w:name="_Hlk206271658"/>
      <w:r>
        <w:rPr>
          <w:rFonts w:hint="eastAsia"/>
          <w:color w:val="000000"/>
          <w:sz w:val="24"/>
          <w:szCs w:val="24"/>
        </w:rPr>
        <w:t>范围（0~100）℃，分度值不大于0.01 ℃，最大允许误差：</w:t>
      </w:r>
      <w:r>
        <w:rPr>
          <w:rFonts w:hint="eastAsia" w:ascii="宋体" w:hAnsi="宋体"/>
          <w:color w:val="000000"/>
          <w:sz w:val="24"/>
          <w:szCs w:val="24"/>
        </w:rPr>
        <w:t>±（</w:t>
      </w:r>
      <w:r>
        <w:rPr>
          <w:rFonts w:hint="eastAsia"/>
          <w:color w:val="000000"/>
          <w:sz w:val="24"/>
          <w:szCs w:val="24"/>
        </w:rPr>
        <w:t>0.15℃+0.002</w:t>
      </w:r>
      <w:r>
        <w:rPr>
          <w:rFonts w:hint="eastAsia"/>
          <w:i/>
          <w:iCs/>
          <w:color w:val="000000"/>
          <w:sz w:val="24"/>
          <w:szCs w:val="24"/>
        </w:rPr>
        <w:t>t</w:t>
      </w:r>
      <w:r>
        <w:rPr>
          <w:rFonts w:hint="eastAsia" w:ascii="宋体" w:hAnsi="宋体"/>
          <w:color w:val="000000"/>
          <w:sz w:val="24"/>
          <w:szCs w:val="24"/>
        </w:rPr>
        <w:t>）</w:t>
      </w:r>
      <w:r>
        <w:rPr>
          <w:rFonts w:hint="eastAsia"/>
          <w:color w:val="000000"/>
          <w:sz w:val="24"/>
          <w:szCs w:val="24"/>
        </w:rPr>
        <w:t>。</w:t>
      </w:r>
    </w:p>
    <w:bookmarkEnd w:id="105"/>
    <w:bookmarkEnd w:id="106"/>
    <w:bookmarkEnd w:id="107"/>
    <w:p w14:paraId="1B91C11E">
      <w:pPr>
        <w:spacing w:line="360" w:lineRule="auto"/>
        <w:rPr>
          <w:sz w:val="24"/>
          <w:szCs w:val="24"/>
        </w:rPr>
      </w:pPr>
      <w:r>
        <w:rPr>
          <w:rFonts w:hint="eastAsia"/>
          <w:sz w:val="24"/>
          <w:szCs w:val="24"/>
        </w:rPr>
        <w:t xml:space="preserve">5.2.2 </w:t>
      </w:r>
      <w:bookmarkStart w:id="108" w:name="_Hlk206271833"/>
      <w:r>
        <w:rPr>
          <w:rFonts w:hint="eastAsia"/>
          <w:sz w:val="24"/>
          <w:szCs w:val="24"/>
        </w:rPr>
        <w:t>压力测量标准：</w:t>
      </w:r>
      <w:bookmarkStart w:id="109" w:name="_Hlk195106753"/>
      <w:r>
        <w:rPr>
          <w:rFonts w:hint="eastAsia"/>
          <w:sz w:val="24"/>
          <w:szCs w:val="24"/>
        </w:rPr>
        <w:t>0.5级或以上数字压力计</w:t>
      </w:r>
      <w:bookmarkEnd w:id="109"/>
      <w:r>
        <w:rPr>
          <w:rFonts w:hint="eastAsia"/>
          <w:sz w:val="24"/>
          <w:szCs w:val="24"/>
        </w:rPr>
        <w:t>。</w:t>
      </w:r>
      <w:bookmarkEnd w:id="108"/>
    </w:p>
    <w:p w14:paraId="5708CAD9">
      <w:pPr>
        <w:spacing w:line="360" w:lineRule="auto"/>
        <w:rPr>
          <w:sz w:val="24"/>
        </w:rPr>
      </w:pPr>
      <w:r>
        <w:rPr>
          <w:rFonts w:hint="eastAsia"/>
          <w:color w:val="000000"/>
          <w:sz w:val="24"/>
          <w:szCs w:val="24"/>
        </w:rPr>
        <w:t>5</w:t>
      </w:r>
      <w:r>
        <w:rPr>
          <w:color w:val="000000"/>
          <w:sz w:val="24"/>
          <w:szCs w:val="24"/>
        </w:rPr>
        <w:t>.2.</w:t>
      </w:r>
      <w:r>
        <w:rPr>
          <w:rFonts w:hint="eastAsia"/>
          <w:color w:val="000000"/>
          <w:sz w:val="24"/>
          <w:szCs w:val="24"/>
        </w:rPr>
        <w:t xml:space="preserve">3 </w:t>
      </w:r>
      <w:bookmarkStart w:id="110" w:name="OLE_LINK38"/>
      <w:bookmarkStart w:id="111" w:name="_Hlk206271845"/>
      <w:r>
        <w:rPr>
          <w:rFonts w:hint="eastAsia"/>
          <w:color w:val="000000"/>
          <w:sz w:val="24"/>
          <w:szCs w:val="24"/>
        </w:rPr>
        <w:t>砝码：</w:t>
      </w:r>
      <w:r>
        <w:rPr>
          <w:rFonts w:hint="eastAsia"/>
          <w:sz w:val="24"/>
        </w:rPr>
        <w:t>F1等级或以上</w:t>
      </w:r>
      <w:bookmarkEnd w:id="110"/>
      <w:r>
        <w:rPr>
          <w:rFonts w:hint="eastAsia"/>
          <w:sz w:val="24"/>
        </w:rPr>
        <w:t>，其最大允许误差应不大于表2中的要求</w:t>
      </w:r>
      <w:r>
        <w:rPr>
          <w:sz w:val="24"/>
        </w:rPr>
        <w:t>。</w:t>
      </w:r>
      <w:bookmarkEnd w:id="111"/>
    </w:p>
    <w:p w14:paraId="7202AB94">
      <w:pPr>
        <w:jc w:val="center"/>
        <w:rPr>
          <w:rFonts w:hint="eastAsia" w:ascii="黑体" w:hAnsi="黑体" w:eastAsia="黑体"/>
          <w:szCs w:val="21"/>
        </w:rPr>
      </w:pPr>
      <w:bookmarkStart w:id="112" w:name="_Hlk206271856"/>
      <w:r>
        <w:rPr>
          <w:rFonts w:hint="eastAsia" w:ascii="黑体" w:hAnsi="黑体" w:eastAsia="黑体"/>
          <w:szCs w:val="21"/>
        </w:rPr>
        <w:t>表2  砝码最大允许误差（以</w:t>
      </w:r>
      <w:r>
        <w:rPr>
          <w:rFonts w:eastAsia="黑体"/>
          <w:szCs w:val="21"/>
        </w:rPr>
        <w:t>mg</w:t>
      </w:r>
      <w:r>
        <w:rPr>
          <w:rFonts w:hint="eastAsia" w:ascii="黑体" w:hAnsi="黑体" w:eastAsia="黑体"/>
          <w:szCs w:val="21"/>
        </w:rPr>
        <w:t>为单位）</w:t>
      </w:r>
    </w:p>
    <w:tbl>
      <w:tblPr>
        <w:tblStyle w:val="3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2"/>
        <w:gridCol w:w="930"/>
        <w:gridCol w:w="930"/>
        <w:gridCol w:w="930"/>
        <w:gridCol w:w="1072"/>
        <w:gridCol w:w="1072"/>
        <w:gridCol w:w="1072"/>
        <w:gridCol w:w="1072"/>
        <w:gridCol w:w="1066"/>
      </w:tblGrid>
      <w:tr w14:paraId="001E5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5" w:type="pct"/>
            <w:vAlign w:val="center"/>
          </w:tcPr>
          <w:p w14:paraId="455E4019">
            <w:pPr>
              <w:jc w:val="center"/>
              <w:rPr>
                <w:rFonts w:hint="eastAsia" w:asciiTheme="minorEastAsia" w:hAnsiTheme="minorEastAsia" w:eastAsiaTheme="minorEastAsia"/>
                <w:szCs w:val="21"/>
              </w:rPr>
            </w:pPr>
            <w:r>
              <w:rPr>
                <w:rFonts w:hint="eastAsia" w:asciiTheme="minorEastAsia" w:hAnsiTheme="minorEastAsia" w:eastAsiaTheme="minorEastAsia"/>
                <w:szCs w:val="21"/>
              </w:rPr>
              <w:t>标称值</w:t>
            </w:r>
          </w:p>
        </w:tc>
        <w:tc>
          <w:tcPr>
            <w:tcW w:w="501" w:type="pct"/>
            <w:vAlign w:val="center"/>
          </w:tcPr>
          <w:p w14:paraId="4BCDEB34">
            <w:pPr>
              <w:jc w:val="center"/>
              <w:rPr>
                <w:rFonts w:hint="eastAsia" w:asciiTheme="minorEastAsia" w:hAnsiTheme="minorEastAsia" w:eastAsiaTheme="minorEastAsia"/>
                <w:szCs w:val="21"/>
              </w:rPr>
            </w:pPr>
            <w:r>
              <w:rPr>
                <w:rFonts w:ascii="Times New Roman" w:hAnsi="Times New Roman"/>
                <w:szCs w:val="21"/>
              </w:rPr>
              <w:t>200g</w:t>
            </w:r>
          </w:p>
        </w:tc>
        <w:tc>
          <w:tcPr>
            <w:tcW w:w="501" w:type="pct"/>
            <w:vAlign w:val="center"/>
          </w:tcPr>
          <w:p w14:paraId="35C507DA">
            <w:pPr>
              <w:jc w:val="center"/>
              <w:rPr>
                <w:rFonts w:hint="eastAsia" w:asciiTheme="minorEastAsia" w:hAnsiTheme="minorEastAsia" w:eastAsiaTheme="minorEastAsia"/>
                <w:szCs w:val="21"/>
              </w:rPr>
            </w:pPr>
            <w:r>
              <w:rPr>
                <w:rFonts w:ascii="Times New Roman" w:hAnsi="Times New Roman"/>
                <w:szCs w:val="21"/>
              </w:rPr>
              <w:t>100g</w:t>
            </w:r>
          </w:p>
        </w:tc>
        <w:tc>
          <w:tcPr>
            <w:tcW w:w="501" w:type="pct"/>
            <w:vAlign w:val="center"/>
          </w:tcPr>
          <w:p w14:paraId="62CB077E">
            <w:pPr>
              <w:jc w:val="center"/>
              <w:rPr>
                <w:rFonts w:hint="eastAsia" w:asciiTheme="minorEastAsia" w:hAnsiTheme="minorEastAsia" w:eastAsiaTheme="minorEastAsia"/>
                <w:szCs w:val="21"/>
              </w:rPr>
            </w:pPr>
            <w:r>
              <w:rPr>
                <w:rFonts w:ascii="Times New Roman" w:hAnsi="Times New Roman"/>
                <w:szCs w:val="21"/>
              </w:rPr>
              <w:t>50g</w:t>
            </w:r>
          </w:p>
        </w:tc>
        <w:tc>
          <w:tcPr>
            <w:tcW w:w="577" w:type="pct"/>
            <w:vAlign w:val="center"/>
          </w:tcPr>
          <w:p w14:paraId="21EB49B0">
            <w:pPr>
              <w:jc w:val="center"/>
              <w:rPr>
                <w:rFonts w:hint="eastAsia" w:asciiTheme="minorEastAsia" w:hAnsiTheme="minorEastAsia" w:eastAsiaTheme="minorEastAsia"/>
                <w:szCs w:val="21"/>
              </w:rPr>
            </w:pPr>
            <w:r>
              <w:rPr>
                <w:rFonts w:ascii="Times New Roman" w:hAnsi="Times New Roman"/>
                <w:szCs w:val="21"/>
              </w:rPr>
              <w:t>20g</w:t>
            </w:r>
          </w:p>
        </w:tc>
        <w:tc>
          <w:tcPr>
            <w:tcW w:w="577" w:type="pct"/>
            <w:vAlign w:val="center"/>
          </w:tcPr>
          <w:p w14:paraId="5A76A167">
            <w:pPr>
              <w:jc w:val="center"/>
              <w:rPr>
                <w:rFonts w:hint="eastAsia" w:asciiTheme="minorEastAsia" w:hAnsiTheme="minorEastAsia" w:eastAsiaTheme="minorEastAsia"/>
                <w:szCs w:val="21"/>
              </w:rPr>
            </w:pPr>
            <w:r>
              <w:rPr>
                <w:rFonts w:ascii="Times New Roman" w:hAnsi="Times New Roman"/>
                <w:szCs w:val="21"/>
              </w:rPr>
              <w:t>10g</w:t>
            </w:r>
          </w:p>
        </w:tc>
        <w:tc>
          <w:tcPr>
            <w:tcW w:w="577" w:type="pct"/>
            <w:vAlign w:val="center"/>
          </w:tcPr>
          <w:p w14:paraId="141ADCAA">
            <w:pPr>
              <w:jc w:val="center"/>
              <w:rPr>
                <w:rFonts w:hint="eastAsia" w:asciiTheme="minorEastAsia" w:hAnsiTheme="minorEastAsia" w:eastAsiaTheme="minorEastAsia"/>
                <w:szCs w:val="21"/>
              </w:rPr>
            </w:pPr>
            <w:r>
              <w:rPr>
                <w:rFonts w:ascii="Times New Roman" w:hAnsi="Times New Roman"/>
                <w:szCs w:val="21"/>
              </w:rPr>
              <w:t>5g</w:t>
            </w:r>
          </w:p>
        </w:tc>
        <w:tc>
          <w:tcPr>
            <w:tcW w:w="577" w:type="pct"/>
            <w:vAlign w:val="center"/>
          </w:tcPr>
          <w:p w14:paraId="65901CFA">
            <w:pPr>
              <w:jc w:val="center"/>
              <w:rPr>
                <w:rFonts w:hint="eastAsia" w:asciiTheme="minorEastAsia" w:hAnsiTheme="minorEastAsia" w:eastAsiaTheme="minorEastAsia"/>
                <w:szCs w:val="21"/>
              </w:rPr>
            </w:pPr>
            <w:r>
              <w:rPr>
                <w:rFonts w:ascii="Times New Roman" w:hAnsi="Times New Roman"/>
                <w:szCs w:val="21"/>
              </w:rPr>
              <w:t>2g</w:t>
            </w:r>
          </w:p>
        </w:tc>
        <w:tc>
          <w:tcPr>
            <w:tcW w:w="577" w:type="pct"/>
            <w:vAlign w:val="center"/>
          </w:tcPr>
          <w:p w14:paraId="64B49E00">
            <w:pPr>
              <w:jc w:val="center"/>
              <w:rPr>
                <w:rFonts w:hint="eastAsia" w:asciiTheme="minorEastAsia" w:hAnsiTheme="minorEastAsia" w:eastAsiaTheme="minorEastAsia"/>
                <w:szCs w:val="21"/>
              </w:rPr>
            </w:pPr>
            <w:r>
              <w:rPr>
                <w:rFonts w:ascii="Times New Roman" w:hAnsi="Times New Roman"/>
                <w:szCs w:val="21"/>
              </w:rPr>
              <w:t>1g</w:t>
            </w:r>
          </w:p>
        </w:tc>
      </w:tr>
      <w:tr w14:paraId="67701E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5" w:type="pct"/>
            <w:vAlign w:val="center"/>
          </w:tcPr>
          <w:p w14:paraId="271043EA">
            <w:pPr>
              <w:jc w:val="center"/>
              <w:rPr>
                <w:rFonts w:ascii="Times New Roman" w:hAnsi="Times New Roman" w:eastAsiaTheme="minorEastAsia"/>
                <w:szCs w:val="21"/>
              </w:rPr>
            </w:pPr>
            <w:r>
              <w:rPr>
                <w:rFonts w:hint="eastAsia" w:ascii="Times New Roman" w:hAnsi="Times New Roman"/>
                <w:szCs w:val="21"/>
              </w:rPr>
              <w:t>MPE</w:t>
            </w:r>
          </w:p>
        </w:tc>
        <w:tc>
          <w:tcPr>
            <w:tcW w:w="501" w:type="pct"/>
            <w:vAlign w:val="center"/>
          </w:tcPr>
          <w:p w14:paraId="360A1D22">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1.0</w:t>
            </w:r>
          </w:p>
        </w:tc>
        <w:tc>
          <w:tcPr>
            <w:tcW w:w="501" w:type="pct"/>
            <w:vAlign w:val="center"/>
          </w:tcPr>
          <w:p w14:paraId="3D0C8143">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0.5</w:t>
            </w:r>
          </w:p>
        </w:tc>
        <w:tc>
          <w:tcPr>
            <w:tcW w:w="501" w:type="pct"/>
            <w:vAlign w:val="center"/>
          </w:tcPr>
          <w:p w14:paraId="23C7AE00">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0.3</w:t>
            </w:r>
          </w:p>
        </w:tc>
        <w:tc>
          <w:tcPr>
            <w:tcW w:w="577" w:type="pct"/>
            <w:vAlign w:val="center"/>
          </w:tcPr>
          <w:p w14:paraId="3E6AF47E">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0.25</w:t>
            </w:r>
          </w:p>
        </w:tc>
        <w:tc>
          <w:tcPr>
            <w:tcW w:w="577" w:type="pct"/>
            <w:vAlign w:val="center"/>
          </w:tcPr>
          <w:p w14:paraId="28324BFC">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0.20</w:t>
            </w:r>
          </w:p>
        </w:tc>
        <w:tc>
          <w:tcPr>
            <w:tcW w:w="577" w:type="pct"/>
            <w:vAlign w:val="center"/>
          </w:tcPr>
          <w:p w14:paraId="2C99BD98">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0.16</w:t>
            </w:r>
          </w:p>
        </w:tc>
        <w:tc>
          <w:tcPr>
            <w:tcW w:w="577" w:type="pct"/>
            <w:vAlign w:val="center"/>
          </w:tcPr>
          <w:p w14:paraId="210B28CB">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0.12</w:t>
            </w:r>
          </w:p>
        </w:tc>
        <w:tc>
          <w:tcPr>
            <w:tcW w:w="577" w:type="pct"/>
            <w:vAlign w:val="center"/>
          </w:tcPr>
          <w:p w14:paraId="4428AC8B">
            <w:pPr>
              <w:jc w:val="center"/>
              <w:rPr>
                <w:rFonts w:hint="eastAsia" w:asciiTheme="minorEastAsia" w:hAnsiTheme="minorEastAsia" w:eastAsiaTheme="minorEastAsia"/>
                <w:szCs w:val="21"/>
              </w:rPr>
            </w:pPr>
            <w:r>
              <w:rPr>
                <w:rFonts w:hint="eastAsia" w:ascii="宋体" w:hAnsi="宋体"/>
                <w:szCs w:val="21"/>
              </w:rPr>
              <w:t>±</w:t>
            </w:r>
            <w:r>
              <w:rPr>
                <w:rFonts w:ascii="Times New Roman" w:hAnsi="Times New Roman"/>
                <w:szCs w:val="21"/>
              </w:rPr>
              <w:t>0.10</w:t>
            </w:r>
          </w:p>
        </w:tc>
      </w:tr>
      <w:bookmarkEnd w:id="112"/>
    </w:tbl>
    <w:p w14:paraId="507919F5">
      <w:pPr>
        <w:jc w:val="center"/>
        <w:rPr>
          <w:rFonts w:hint="eastAsia" w:asciiTheme="minorEastAsia" w:hAnsiTheme="minorEastAsia" w:eastAsiaTheme="minorEastAsia"/>
          <w:szCs w:val="21"/>
        </w:rPr>
      </w:pPr>
    </w:p>
    <w:bookmarkEnd w:id="95"/>
    <w:p w14:paraId="408CED6C">
      <w:pPr>
        <w:pStyle w:val="2"/>
        <w:numPr>
          <w:ilvl w:val="255"/>
          <w:numId w:val="0"/>
        </w:numPr>
        <w:spacing w:before="0" w:after="0"/>
      </w:pPr>
      <w:bookmarkStart w:id="113" w:name="_Toc17945"/>
      <w:bookmarkStart w:id="114" w:name="_Toc73367158"/>
      <w:bookmarkStart w:id="115" w:name="_Toc21328"/>
      <w:bookmarkStart w:id="116" w:name="_Toc7771"/>
      <w:bookmarkStart w:id="117" w:name="_Toc15434"/>
      <w:bookmarkStart w:id="118" w:name="_Toc10412"/>
      <w:bookmarkStart w:id="119" w:name="_Toc99635394"/>
      <w:bookmarkStart w:id="120" w:name="_Toc196840013"/>
      <w:r>
        <w:rPr>
          <w:rFonts w:hint="eastAsia"/>
        </w:rPr>
        <w:t>6</w:t>
      </w:r>
      <w:r>
        <w:t xml:space="preserve"> 校准项目和校准方法</w:t>
      </w:r>
      <w:bookmarkEnd w:id="113"/>
      <w:bookmarkEnd w:id="114"/>
      <w:bookmarkEnd w:id="115"/>
      <w:bookmarkEnd w:id="116"/>
      <w:bookmarkEnd w:id="117"/>
      <w:bookmarkEnd w:id="118"/>
      <w:bookmarkEnd w:id="119"/>
      <w:bookmarkEnd w:id="120"/>
    </w:p>
    <w:p w14:paraId="29D762DB">
      <w:pPr>
        <w:pStyle w:val="3"/>
      </w:pPr>
      <w:bookmarkStart w:id="121" w:name="_Toc196840014"/>
      <w:bookmarkStart w:id="122" w:name="OLE_LINK65"/>
      <w:r>
        <w:rPr>
          <w:rFonts w:hint="eastAsia"/>
        </w:rPr>
        <w:t>6.1 校准前准备</w:t>
      </w:r>
      <w:bookmarkEnd w:id="121"/>
    </w:p>
    <w:p w14:paraId="6583D59F">
      <w:pPr>
        <w:spacing w:line="360" w:lineRule="auto"/>
        <w:rPr>
          <w:rFonts w:hint="eastAsia" w:ascii="宋体" w:hAnsi="宋体" w:cs="宋体"/>
          <w:sz w:val="24"/>
        </w:rPr>
      </w:pPr>
      <w:r>
        <w:rPr>
          <w:sz w:val="24"/>
        </w:rPr>
        <w:t>6.1.</w:t>
      </w:r>
      <w:r>
        <w:rPr>
          <w:rFonts w:hint="eastAsia"/>
          <w:sz w:val="24"/>
        </w:rPr>
        <w:t>1</w:t>
      </w:r>
      <w:r>
        <w:rPr>
          <w:sz w:val="24"/>
        </w:rPr>
        <w:t xml:space="preserve"> </w:t>
      </w:r>
      <w:bookmarkStart w:id="123" w:name="_Hlk206272030"/>
      <w:r>
        <w:rPr>
          <w:rFonts w:hint="eastAsia"/>
          <w:sz w:val="24"/>
        </w:rPr>
        <w:t>按使用说明书的要求使空气释放值测定仪处于正常工作状态，</w:t>
      </w:r>
      <w:r>
        <w:rPr>
          <w:rFonts w:hint="eastAsia" w:ascii="宋体" w:hAnsi="宋体" w:cs="宋体"/>
          <w:sz w:val="24"/>
        </w:rPr>
        <w:t>并确认循环水浴的液位正常。</w:t>
      </w:r>
    </w:p>
    <w:p w14:paraId="57CF6964">
      <w:pPr>
        <w:spacing w:line="360" w:lineRule="auto"/>
        <w:rPr>
          <w:sz w:val="24"/>
        </w:rPr>
      </w:pPr>
      <w:r>
        <w:rPr>
          <w:sz w:val="24"/>
        </w:rPr>
        <w:t>6.1.</w:t>
      </w:r>
      <w:r>
        <w:rPr>
          <w:rFonts w:hint="eastAsia"/>
          <w:sz w:val="24"/>
        </w:rPr>
        <w:t>2</w:t>
      </w:r>
      <w:r>
        <w:rPr>
          <w:rFonts w:hint="eastAsia" w:ascii="宋体" w:hAnsi="宋体" w:cs="宋体"/>
          <w:sz w:val="24"/>
        </w:rPr>
        <w:t xml:space="preserve"> </w:t>
      </w:r>
      <w:bookmarkStart w:id="124" w:name="OLE_LINK50"/>
      <w:r>
        <w:rPr>
          <w:rFonts w:hint="eastAsia" w:ascii="宋体" w:hAnsi="宋体" w:cs="宋体"/>
          <w:sz w:val="24"/>
        </w:rPr>
        <w:t>校准温度点选择</w:t>
      </w:r>
      <w:r>
        <w:rPr>
          <w:sz w:val="24"/>
        </w:rPr>
        <w:t>25 ℃、50 ℃和75 ℃</w:t>
      </w:r>
      <w:r>
        <w:rPr>
          <w:rFonts w:hint="eastAsia"/>
          <w:sz w:val="24"/>
        </w:rPr>
        <w:t>，</w:t>
      </w:r>
      <w:bookmarkEnd w:id="123"/>
      <w:bookmarkStart w:id="125" w:name="_Hlk206272116"/>
      <w:r>
        <w:rPr>
          <w:rFonts w:hint="eastAsia"/>
          <w:sz w:val="24"/>
        </w:rPr>
        <w:t>也可</w:t>
      </w:r>
      <w:r>
        <w:rPr>
          <w:rFonts w:hint="eastAsia" w:ascii="宋体" w:hAnsi="宋体" w:cs="宋体"/>
          <w:sz w:val="24"/>
        </w:rPr>
        <w:t>根据用户需要选择常用的温度点</w:t>
      </w:r>
      <w:bookmarkEnd w:id="124"/>
      <w:r>
        <w:rPr>
          <w:rFonts w:hint="eastAsia" w:ascii="宋体" w:hAnsi="宋体" w:cs="宋体"/>
          <w:sz w:val="24"/>
        </w:rPr>
        <w:t>。设定循环水浴温度和空气温度</w:t>
      </w:r>
      <w:r>
        <w:rPr>
          <w:rFonts w:hint="eastAsia"/>
          <w:sz w:val="24"/>
        </w:rPr>
        <w:t>。</w:t>
      </w:r>
    </w:p>
    <w:bookmarkEnd w:id="125"/>
    <w:p w14:paraId="5696A2D2">
      <w:pPr>
        <w:pStyle w:val="3"/>
        <w:rPr>
          <w:szCs w:val="24"/>
        </w:rPr>
      </w:pPr>
      <w:bookmarkStart w:id="126" w:name="_Toc196840015"/>
      <w:r>
        <w:rPr>
          <w:rFonts w:hint="eastAsia"/>
          <w:szCs w:val="24"/>
        </w:rPr>
        <w:t>6.2 循环水浴温度示值误差</w:t>
      </w:r>
      <w:bookmarkEnd w:id="126"/>
    </w:p>
    <w:p w14:paraId="53C5538F">
      <w:pPr>
        <w:pStyle w:val="177"/>
        <w:spacing w:line="360" w:lineRule="auto"/>
        <w:ind w:firstLine="480"/>
        <w:rPr>
          <w:rFonts w:hint="eastAsia" w:ascii="宋体" w:hAnsi="宋体" w:cs="宋体"/>
          <w:sz w:val="24"/>
        </w:rPr>
      </w:pPr>
      <w:bookmarkStart w:id="127" w:name="_Hlk206272189"/>
      <w:r>
        <w:rPr>
          <w:rFonts w:hint="eastAsia"/>
          <w:sz w:val="24"/>
        </w:rPr>
        <w:t>将</w:t>
      </w:r>
      <w:r>
        <w:rPr>
          <w:sz w:val="24"/>
        </w:rPr>
        <w:t>温度</w:t>
      </w:r>
      <w:r>
        <w:rPr>
          <w:rFonts w:hint="eastAsia"/>
          <w:sz w:val="24"/>
        </w:rPr>
        <w:t>测量标准的</w:t>
      </w:r>
      <w:r>
        <w:rPr>
          <w:rFonts w:hint="eastAsia"/>
          <w:color w:val="000000" w:themeColor="text1"/>
          <w:sz w:val="24"/>
          <w14:textFill>
            <w14:solidFill>
              <w14:schemeClr w14:val="tx1"/>
            </w14:solidFill>
          </w14:textFill>
        </w:rPr>
        <w:t>温度传感器放入循环水浴中，浸没至液面以下容器总深度的1/2处。待循环水浴达到稳定状态后开始记录温度标准器的读数</w:t>
      </w:r>
      <w:bookmarkStart w:id="128" w:name="OLE_LINK17"/>
      <w:r>
        <w:rPr>
          <w:sz w:val="24"/>
        </w:rPr>
        <w:t>，连续测</w:t>
      </w:r>
      <w:r>
        <w:rPr>
          <w:rFonts w:hint="eastAsia"/>
          <w:sz w:val="24"/>
        </w:rPr>
        <w:t>量</w:t>
      </w:r>
      <w:r>
        <w:rPr>
          <w:sz w:val="24"/>
        </w:rPr>
        <w:t>3次，取平均值</w:t>
      </w:r>
      <w:r>
        <w:rPr>
          <w:position w:val="-12"/>
          <w:sz w:val="24"/>
        </w:rPr>
        <w:object>
          <v:shape id="_x0000_i1025" o:spt="75" type="#_x0000_t75" style="height:20pt;width:15pt;" o:ole="t" filled="f" o:preferrelative="t" stroked="f" coordsize="21600,21600">
            <v:path/>
            <v:fill on="f" focussize="0,0"/>
            <v:stroke on="f" joinstyle="miter"/>
            <v:imagedata r:id="rId26" o:title=""/>
            <o:lock v:ext="edit" aspectratio="t"/>
            <w10:wrap type="none"/>
            <w10:anchorlock/>
          </v:shape>
          <o:OLEObject Type="Embed" ProgID="Equation.DSMT4" ShapeID="_x0000_i1025" DrawAspect="Content" ObjectID="_1468075726" r:id="rId25">
            <o:LockedField>false</o:LockedField>
          </o:OLEObject>
        </w:object>
      </w:r>
      <w:r>
        <w:rPr>
          <w:sz w:val="24"/>
        </w:rPr>
        <w:t>为测量结果。按公式（1）计</w:t>
      </w:r>
      <w:r>
        <w:rPr>
          <w:rFonts w:hint="eastAsia" w:ascii="宋体" w:hAnsi="宋体" w:cs="宋体"/>
          <w:sz w:val="24"/>
        </w:rPr>
        <w:t>算示值误差。</w:t>
      </w:r>
      <w:bookmarkEnd w:id="128"/>
      <w:bookmarkStart w:id="129" w:name="OLE_LINK18"/>
      <w:bookmarkStart w:id="130" w:name="OLE_LINK13"/>
    </w:p>
    <w:p w14:paraId="134D423C">
      <w:pPr>
        <w:pStyle w:val="177"/>
        <w:adjustRightInd/>
        <w:spacing w:line="360" w:lineRule="auto"/>
        <w:jc w:val="right"/>
        <w:rPr>
          <w:sz w:val="24"/>
          <w:szCs w:val="24"/>
        </w:rPr>
      </w:pPr>
      <w:r>
        <w:rPr>
          <w:rFonts w:hint="eastAsia"/>
          <w:position w:val="-12"/>
        </w:rPr>
        <w:t xml:space="preserve">                             </w:t>
      </w:r>
      <w:r>
        <w:rPr>
          <w:rFonts w:hint="eastAsia"/>
          <w:position w:val="-12"/>
        </w:rPr>
        <w:object>
          <v:shape id="_x0000_i1026" o:spt="75" type="#_x0000_t75" style="height:20pt;width:66pt;" o:ole="t" filled="f" o:preferrelative="t" stroked="f" coordsize="21600,21600">
            <v:path/>
            <v:fill on="f" focussize="0,0"/>
            <v:stroke on="f" joinstyle="miter"/>
            <v:imagedata r:id="rId28" o:title=""/>
            <o:lock v:ext="edit" aspectratio="t"/>
            <w10:wrap type="none"/>
            <w10:anchorlock/>
          </v:shape>
          <o:OLEObject Type="Embed" ProgID="Equation.DSMT4" ShapeID="_x0000_i1026" DrawAspect="Content" ObjectID="_1468075727" r:id="rId27">
            <o:LockedField>false</o:LockedField>
          </o:OLEObject>
        </w:object>
      </w:r>
      <w:r>
        <w:rPr>
          <w:rFonts w:hint="eastAsia"/>
        </w:rPr>
        <w:t xml:space="preserve">                          </w:t>
      </w:r>
      <w:r>
        <w:rPr>
          <w:rFonts w:hint="eastAsia"/>
          <w:sz w:val="24"/>
          <w:szCs w:val="24"/>
        </w:rPr>
        <w:t>（1）</w:t>
      </w:r>
    </w:p>
    <w:p w14:paraId="15F2A163">
      <w:pPr>
        <w:spacing w:line="360" w:lineRule="auto"/>
        <w:ind w:firstLine="480" w:firstLineChars="200"/>
        <w:rPr>
          <w:sz w:val="24"/>
          <w:szCs w:val="24"/>
        </w:rPr>
      </w:pPr>
      <w:r>
        <w:rPr>
          <w:rFonts w:hint="eastAsia"/>
          <w:sz w:val="24"/>
          <w:szCs w:val="24"/>
        </w:rPr>
        <w:t>式中：</w:t>
      </w:r>
    </w:p>
    <w:p w14:paraId="1825FF2D">
      <w:pPr>
        <w:spacing w:line="360" w:lineRule="auto"/>
        <w:ind w:firstLine="480" w:firstLineChars="200"/>
        <w:rPr>
          <w:sz w:val="24"/>
          <w:szCs w:val="24"/>
        </w:rPr>
      </w:pPr>
      <w:bookmarkStart w:id="131" w:name="OLE_LINK49"/>
      <w:r>
        <w:rPr>
          <w:rFonts w:hint="eastAsia"/>
          <w:position w:val="-10"/>
          <w:sz w:val="24"/>
          <w:szCs w:val="24"/>
        </w:rPr>
        <w:object>
          <v:shape id="_x0000_i1027" o:spt="75" type="#_x0000_t75" style="height:15pt;width:18pt;" o:ole="t" filled="f" o:preferrelative="t" stroked="f" coordsize="21600,21600">
            <v:path/>
            <v:fill on="f" focussize="0,0"/>
            <v:stroke on="f" joinstyle="miter"/>
            <v:imagedata r:id="rId30" o:title=""/>
            <o:lock v:ext="edit" aspectratio="t"/>
            <w10:wrap type="none"/>
            <w10:anchorlock/>
          </v:shape>
          <o:OLEObject Type="Embed" ProgID="Equation.DSMT4" ShapeID="_x0000_i1027" DrawAspect="Content" ObjectID="_1468075728" r:id="rId29">
            <o:LockedField>false</o:LockedField>
          </o:OLEObject>
        </w:object>
      </w:r>
      <w:r>
        <w:rPr>
          <w:sz w:val="24"/>
          <w:szCs w:val="24"/>
        </w:rPr>
        <w:t>——</w:t>
      </w:r>
      <w:r>
        <w:rPr>
          <w:rFonts w:hint="eastAsia"/>
          <w:sz w:val="24"/>
        </w:rPr>
        <w:t>循环</w:t>
      </w:r>
      <w:r>
        <w:rPr>
          <w:rFonts w:hint="eastAsia"/>
          <w:sz w:val="24"/>
          <w:szCs w:val="24"/>
        </w:rPr>
        <w:t>水浴温度示</w:t>
      </w:r>
      <w:r>
        <w:rPr>
          <w:sz w:val="24"/>
          <w:szCs w:val="24"/>
        </w:rPr>
        <w:t>值误差，℃；</w:t>
      </w:r>
    </w:p>
    <w:p w14:paraId="04BB1B45">
      <w:pPr>
        <w:spacing w:line="360" w:lineRule="auto"/>
        <w:ind w:firstLine="480" w:firstLineChars="200"/>
        <w:rPr>
          <w:sz w:val="24"/>
          <w:szCs w:val="24"/>
        </w:rPr>
      </w:pPr>
      <w:r>
        <w:rPr>
          <w:position w:val="-12"/>
          <w:sz w:val="24"/>
          <w:szCs w:val="24"/>
        </w:rPr>
        <w:object>
          <v:shape id="_x0000_i1028" o:spt="75" type="#_x0000_t75" style="height:20pt;width:13.95pt;" o:ole="t" filled="f" o:preferrelative="t" stroked="f" coordsize="21600,21600">
            <v:path/>
            <v:fill on="f" focussize="0,0"/>
            <v:stroke on="f" joinstyle="miter"/>
            <v:imagedata r:id="rId32" o:title=""/>
            <o:lock v:ext="edit" aspectratio="t"/>
            <w10:wrap type="none"/>
            <w10:anchorlock/>
          </v:shape>
          <o:OLEObject Type="Embed" ProgID="Equation.DSMT4" ShapeID="_x0000_i1028" DrawAspect="Content" ObjectID="_1468075729" r:id="rId31">
            <o:LockedField>false</o:LockedField>
          </o:OLEObject>
        </w:object>
      </w:r>
      <w:bookmarkStart w:id="132" w:name="OLE_LINK48"/>
      <w:r>
        <w:rPr>
          <w:sz w:val="24"/>
          <w:szCs w:val="24"/>
        </w:rPr>
        <w:t>——</w:t>
      </w:r>
      <w:bookmarkEnd w:id="132"/>
      <w:r>
        <w:rPr>
          <w:sz w:val="24"/>
          <w:szCs w:val="24"/>
        </w:rPr>
        <w:t>温度测量值的算术平均值，℃；</w:t>
      </w:r>
    </w:p>
    <w:p w14:paraId="1911E934">
      <w:pPr>
        <w:spacing w:line="360" w:lineRule="auto"/>
        <w:ind w:firstLine="480" w:firstLineChars="200"/>
        <w:rPr>
          <w:sz w:val="24"/>
          <w:szCs w:val="24"/>
        </w:rPr>
      </w:pPr>
      <w:r>
        <w:rPr>
          <w:position w:val="-10"/>
          <w:sz w:val="24"/>
          <w:szCs w:val="24"/>
        </w:rPr>
        <w:object>
          <v:shape id="_x0000_i1029" o:spt="75" type="#_x0000_t75" style="height:19.15pt;width:18pt;" o:ole="t" filled="f" o:preferrelative="t" stroked="f" coordsize="21600,21600">
            <v:path/>
            <v:fill on="f" focussize="0,0"/>
            <v:stroke on="f" joinstyle="miter"/>
            <v:imagedata r:id="rId34" o:title=""/>
            <o:lock v:ext="edit" aspectratio="t"/>
            <w10:wrap type="none"/>
            <w10:anchorlock/>
          </v:shape>
          <o:OLEObject Type="Embed" ProgID="Equation.DSMT4" ShapeID="_x0000_i1029" DrawAspect="Content" ObjectID="_1468075730" r:id="rId33">
            <o:LockedField>false</o:LockedField>
          </o:OLEObject>
        </w:object>
      </w:r>
      <w:r>
        <w:rPr>
          <w:sz w:val="24"/>
          <w:szCs w:val="24"/>
        </w:rPr>
        <w:t>——</w:t>
      </w:r>
      <w:r>
        <w:rPr>
          <w:rFonts w:hint="eastAsia"/>
          <w:sz w:val="24"/>
        </w:rPr>
        <w:t>循环</w:t>
      </w:r>
      <w:r>
        <w:rPr>
          <w:rFonts w:hint="eastAsia"/>
          <w:sz w:val="24"/>
          <w:szCs w:val="24"/>
        </w:rPr>
        <w:t>水浴</w:t>
      </w:r>
      <w:r>
        <w:rPr>
          <w:sz w:val="24"/>
          <w:szCs w:val="24"/>
        </w:rPr>
        <w:t>温度设定值，℃。</w:t>
      </w:r>
    </w:p>
    <w:bookmarkEnd w:id="127"/>
    <w:bookmarkEnd w:id="129"/>
    <w:bookmarkEnd w:id="130"/>
    <w:bookmarkEnd w:id="131"/>
    <w:p w14:paraId="183177BA">
      <w:pPr>
        <w:pStyle w:val="177"/>
        <w:adjustRightInd/>
        <w:spacing w:line="360" w:lineRule="auto"/>
        <w:ind w:firstLine="0" w:firstLineChars="0"/>
        <w:outlineLvl w:val="1"/>
        <w:rPr>
          <w:sz w:val="24"/>
          <w:szCs w:val="24"/>
        </w:rPr>
      </w:pPr>
      <w:bookmarkStart w:id="133" w:name="_Toc196840016"/>
      <w:r>
        <w:rPr>
          <w:rFonts w:hint="eastAsia"/>
          <w:sz w:val="24"/>
          <w:szCs w:val="24"/>
        </w:rPr>
        <w:t>6.3</w:t>
      </w:r>
      <w:r>
        <w:rPr>
          <w:rFonts w:hint="eastAsia" w:eastAsia="黑体"/>
          <w:bCs/>
          <w:sz w:val="24"/>
          <w:szCs w:val="24"/>
        </w:rPr>
        <w:t xml:space="preserve"> 空气温度示值误差</w:t>
      </w:r>
      <w:bookmarkEnd w:id="133"/>
    </w:p>
    <w:p w14:paraId="31AC6A57">
      <w:pPr>
        <w:pStyle w:val="177"/>
        <w:adjustRightInd/>
        <w:spacing w:line="360" w:lineRule="auto"/>
        <w:ind w:firstLine="480"/>
        <w:rPr>
          <w:rFonts w:hint="eastAsia" w:ascii="宋体" w:hAnsi="宋体" w:cs="宋体"/>
          <w:sz w:val="24"/>
        </w:rPr>
      </w:pPr>
      <w:bookmarkStart w:id="134" w:name="OLE_LINK7"/>
      <w:bookmarkStart w:id="135" w:name="_Hlk206272259"/>
      <w:r>
        <w:rPr>
          <w:rFonts w:hint="eastAsia"/>
          <w:sz w:val="24"/>
        </w:rPr>
        <w:t>将</w:t>
      </w:r>
      <w:r>
        <w:rPr>
          <w:sz w:val="24"/>
        </w:rPr>
        <w:t>温度</w:t>
      </w:r>
      <w:r>
        <w:rPr>
          <w:rFonts w:hint="eastAsia"/>
          <w:sz w:val="24"/>
        </w:rPr>
        <w:t>测量标准的</w:t>
      </w:r>
      <w:r>
        <w:rPr>
          <w:rFonts w:hint="eastAsia"/>
          <w:color w:val="000000" w:themeColor="text1"/>
          <w:sz w:val="24"/>
          <w14:textFill>
            <w14:solidFill>
              <w14:schemeClr w14:val="tx1"/>
            </w14:solidFill>
          </w14:textFill>
        </w:rPr>
        <w:t>温度传感器</w:t>
      </w:r>
      <w:r>
        <w:rPr>
          <w:rFonts w:hint="eastAsia"/>
          <w:sz w:val="24"/>
        </w:rPr>
        <w:t>插入到</w:t>
      </w:r>
      <w:bookmarkStart w:id="136" w:name="OLE_LINK9"/>
      <w:r>
        <w:rPr>
          <w:rFonts w:hint="eastAsia"/>
          <w:sz w:val="24"/>
        </w:rPr>
        <w:t>空气释放值测定仪</w:t>
      </w:r>
      <w:bookmarkStart w:id="137" w:name="_Hlk202275849"/>
      <w:r>
        <w:rPr>
          <w:rFonts w:hint="eastAsia"/>
          <w:sz w:val="24"/>
        </w:rPr>
        <w:t>的加热空气出气口</w:t>
      </w:r>
      <w:bookmarkEnd w:id="136"/>
      <w:bookmarkEnd w:id="137"/>
      <w:r>
        <w:rPr>
          <w:rFonts w:hint="eastAsia"/>
          <w:sz w:val="24"/>
        </w:rPr>
        <w:t>，并将其固定在出气口的内部中心位置。</w:t>
      </w:r>
      <w:bookmarkEnd w:id="134"/>
      <w:r>
        <w:rPr>
          <w:rFonts w:hint="eastAsia"/>
          <w:sz w:val="24"/>
        </w:rPr>
        <w:t>接通气源，通入压缩空气后，每隔2 min</w:t>
      </w:r>
      <w:r>
        <w:rPr>
          <w:sz w:val="24"/>
        </w:rPr>
        <w:t>记录</w:t>
      </w:r>
      <w:r>
        <w:rPr>
          <w:rFonts w:hint="eastAsia"/>
          <w:sz w:val="24"/>
        </w:rPr>
        <w:t>一次</w:t>
      </w:r>
      <w:r>
        <w:rPr>
          <w:sz w:val="24"/>
        </w:rPr>
        <w:t>温度标准器测得的</w:t>
      </w:r>
      <w:r>
        <w:rPr>
          <w:rFonts w:hint="eastAsia"/>
          <w:sz w:val="24"/>
        </w:rPr>
        <w:t>空气</w:t>
      </w:r>
      <w:r>
        <w:rPr>
          <w:sz w:val="24"/>
        </w:rPr>
        <w:t>温度</w:t>
      </w:r>
      <w:r>
        <w:rPr>
          <w:rFonts w:hint="eastAsia"/>
          <w:sz w:val="24"/>
        </w:rPr>
        <w:t>值</w:t>
      </w:r>
      <w:r>
        <w:rPr>
          <w:sz w:val="24"/>
        </w:rPr>
        <w:t>，连续测</w:t>
      </w:r>
      <w:r>
        <w:rPr>
          <w:rFonts w:hint="eastAsia"/>
          <w:sz w:val="24"/>
        </w:rPr>
        <w:t>量</w:t>
      </w:r>
      <w:r>
        <w:rPr>
          <w:sz w:val="24"/>
        </w:rPr>
        <w:t>3次，取平均值</w:t>
      </w:r>
      <w:r>
        <w:rPr>
          <w:position w:val="-12"/>
          <w:sz w:val="24"/>
        </w:rPr>
        <w:object>
          <v:shape id="_x0000_i1030" o:spt="75" type="#_x0000_t75" style="height:20pt;width:15pt;" o:ole="t" filled="f" o:preferrelative="t" stroked="f" coordsize="21600,21600">
            <v:path/>
            <v:fill on="f" focussize="0,0"/>
            <v:stroke on="f" joinstyle="miter"/>
            <v:imagedata r:id="rId36" o:title=""/>
            <o:lock v:ext="edit" aspectratio="t"/>
            <w10:wrap type="none"/>
            <w10:anchorlock/>
          </v:shape>
          <o:OLEObject Type="Embed" ProgID="Equation.DSMT4" ShapeID="_x0000_i1030" DrawAspect="Content" ObjectID="_1468075731" r:id="rId35">
            <o:LockedField>false</o:LockedField>
          </o:OLEObject>
        </w:object>
      </w:r>
      <w:r>
        <w:rPr>
          <w:sz w:val="24"/>
        </w:rPr>
        <w:t>为测量结果。按公式（</w:t>
      </w:r>
      <w:r>
        <w:rPr>
          <w:rFonts w:hint="eastAsia"/>
          <w:sz w:val="24"/>
        </w:rPr>
        <w:t>2</w:t>
      </w:r>
      <w:r>
        <w:rPr>
          <w:sz w:val="24"/>
        </w:rPr>
        <w:t>）计</w:t>
      </w:r>
      <w:r>
        <w:rPr>
          <w:rFonts w:hint="eastAsia" w:ascii="宋体" w:hAnsi="宋体" w:cs="宋体"/>
          <w:sz w:val="24"/>
        </w:rPr>
        <w:t>算示值误差。</w:t>
      </w:r>
    </w:p>
    <w:p w14:paraId="61C9E389">
      <w:pPr>
        <w:pStyle w:val="177"/>
        <w:adjustRightInd/>
        <w:spacing w:line="360" w:lineRule="auto"/>
        <w:jc w:val="right"/>
        <w:rPr>
          <w:sz w:val="24"/>
          <w:szCs w:val="24"/>
        </w:rPr>
      </w:pPr>
      <w:r>
        <w:rPr>
          <w:rFonts w:hint="eastAsia"/>
          <w:position w:val="-12"/>
        </w:rPr>
        <w:t xml:space="preserve">                              </w:t>
      </w:r>
      <w:r>
        <w:rPr>
          <w:rFonts w:hint="eastAsia"/>
          <w:position w:val="-14"/>
        </w:rPr>
        <w:object>
          <v:shape id="_x0000_i1031" o:spt="75" type="#_x0000_t75" style="height:21pt;width:60.95pt;" o:ole="t" filled="f" o:preferrelative="t" stroked="f" coordsize="21600,21600">
            <v:path/>
            <v:fill on="f" focussize="0,0"/>
            <v:stroke on="f" joinstyle="miter"/>
            <v:imagedata r:id="rId38" o:title=""/>
            <o:lock v:ext="edit" aspectratio="t"/>
            <w10:wrap type="none"/>
            <w10:anchorlock/>
          </v:shape>
          <o:OLEObject Type="Embed" ProgID="Equation.DSMT4" ShapeID="_x0000_i1031" DrawAspect="Content" ObjectID="_1468075732" r:id="rId37">
            <o:LockedField>false</o:LockedField>
          </o:OLEObject>
        </w:object>
      </w:r>
      <w:r>
        <w:rPr>
          <w:rFonts w:hint="eastAsia"/>
        </w:rPr>
        <w:t xml:space="preserve">                           </w:t>
      </w:r>
      <w:r>
        <w:rPr>
          <w:rFonts w:hint="eastAsia"/>
          <w:sz w:val="24"/>
          <w:szCs w:val="24"/>
        </w:rPr>
        <w:t>（2）</w:t>
      </w:r>
    </w:p>
    <w:p w14:paraId="192AF981">
      <w:pPr>
        <w:spacing w:line="360" w:lineRule="auto"/>
        <w:ind w:firstLine="480" w:firstLineChars="200"/>
        <w:rPr>
          <w:sz w:val="24"/>
          <w:szCs w:val="24"/>
        </w:rPr>
      </w:pPr>
      <w:r>
        <w:rPr>
          <w:rFonts w:hint="eastAsia"/>
          <w:sz w:val="24"/>
          <w:szCs w:val="24"/>
        </w:rPr>
        <w:t>式中：</w:t>
      </w:r>
    </w:p>
    <w:p w14:paraId="20B29192">
      <w:pPr>
        <w:spacing w:line="360" w:lineRule="auto"/>
        <w:ind w:firstLine="420" w:firstLineChars="200"/>
        <w:rPr>
          <w:sz w:val="24"/>
          <w:szCs w:val="24"/>
        </w:rPr>
      </w:pPr>
      <w:bookmarkStart w:id="138" w:name="OLE_LINK57"/>
      <w:r>
        <w:rPr>
          <w:rFonts w:hint="eastAsia"/>
          <w:position w:val="-12"/>
        </w:rPr>
        <w:object>
          <v:shape id="_x0000_i1032" o:spt="75" type="#_x0000_t75" style="height:16pt;width:16pt;" o:ole="t" filled="f" o:preferrelative="t" stroked="f" coordsize="21600,21600">
            <v:path/>
            <v:fill on="f" focussize="0,0"/>
            <v:stroke on="f" joinstyle="miter"/>
            <v:imagedata r:id="rId40" o:title=""/>
            <o:lock v:ext="edit" aspectratio="t"/>
            <w10:wrap type="none"/>
            <w10:anchorlock/>
          </v:shape>
          <o:OLEObject Type="Embed" ProgID="Equation.DSMT4" ShapeID="_x0000_i1032" DrawAspect="Content" ObjectID="_1468075733" r:id="rId39">
            <o:LockedField>false</o:LockedField>
          </o:OLEObject>
        </w:object>
      </w:r>
      <w:r>
        <w:rPr>
          <w:sz w:val="24"/>
          <w:szCs w:val="24"/>
        </w:rPr>
        <w:t>——</w:t>
      </w:r>
      <w:r>
        <w:rPr>
          <w:rFonts w:hint="eastAsia"/>
          <w:sz w:val="24"/>
        </w:rPr>
        <w:t>空气</w:t>
      </w:r>
      <w:r>
        <w:rPr>
          <w:rFonts w:hint="eastAsia"/>
          <w:sz w:val="24"/>
          <w:szCs w:val="24"/>
        </w:rPr>
        <w:t>温度示</w:t>
      </w:r>
      <w:r>
        <w:rPr>
          <w:sz w:val="24"/>
          <w:szCs w:val="24"/>
        </w:rPr>
        <w:t xml:space="preserve">值误差，℃； </w:t>
      </w:r>
    </w:p>
    <w:p w14:paraId="7D87615B">
      <w:pPr>
        <w:spacing w:line="360" w:lineRule="auto"/>
        <w:ind w:firstLine="480" w:firstLineChars="200"/>
        <w:rPr>
          <w:sz w:val="24"/>
          <w:szCs w:val="24"/>
        </w:rPr>
      </w:pPr>
      <w:r>
        <w:rPr>
          <w:position w:val="-14"/>
          <w:sz w:val="24"/>
          <w:szCs w:val="24"/>
        </w:rPr>
        <w:object>
          <v:shape id="_x0000_i1033" o:spt="75" type="#_x0000_t75" style="height:21pt;width:12pt;" o:ole="t" filled="f" o:preferrelative="t" stroked="f" coordsize="21600,21600">
            <v:path/>
            <v:fill on="f" focussize="0,0"/>
            <v:stroke on="f" joinstyle="miter"/>
            <v:imagedata r:id="rId42" o:title=""/>
            <o:lock v:ext="edit" aspectratio="t"/>
            <w10:wrap type="none"/>
            <w10:anchorlock/>
          </v:shape>
          <o:OLEObject Type="Embed" ProgID="Equation.DSMT4" ShapeID="_x0000_i1033" DrawAspect="Content" ObjectID="_1468075734" r:id="rId41">
            <o:LockedField>false</o:LockedField>
          </o:OLEObject>
        </w:object>
      </w:r>
      <w:r>
        <w:rPr>
          <w:sz w:val="24"/>
          <w:szCs w:val="24"/>
        </w:rPr>
        <w:t>——温度测量值的算术平均值，℃；</w:t>
      </w:r>
    </w:p>
    <w:p w14:paraId="42CF5607">
      <w:pPr>
        <w:spacing w:line="360" w:lineRule="auto"/>
        <w:ind w:firstLine="480" w:firstLineChars="200"/>
        <w:rPr>
          <w:sz w:val="24"/>
          <w:szCs w:val="24"/>
        </w:rPr>
      </w:pPr>
      <w:r>
        <w:rPr>
          <w:position w:val="-12"/>
          <w:sz w:val="24"/>
          <w:szCs w:val="24"/>
        </w:rPr>
        <w:object>
          <v:shape id="_x0000_i1034" o:spt="75" type="#_x0000_t75" style="height:20.9pt;width:17pt;" o:ole="t" filled="f" o:preferrelative="t" stroked="f" coordsize="21600,21600">
            <v:path/>
            <v:fill on="f" focussize="0,0"/>
            <v:stroke on="f" joinstyle="miter"/>
            <v:imagedata r:id="rId44" o:title=""/>
            <o:lock v:ext="edit" aspectratio="t"/>
            <w10:wrap type="none"/>
            <w10:anchorlock/>
          </v:shape>
          <o:OLEObject Type="Embed" ProgID="Equation.DSMT4" ShapeID="_x0000_i1034" DrawAspect="Content" ObjectID="_1468075735" r:id="rId43">
            <o:LockedField>false</o:LockedField>
          </o:OLEObject>
        </w:object>
      </w:r>
      <w:r>
        <w:rPr>
          <w:sz w:val="24"/>
          <w:szCs w:val="24"/>
        </w:rPr>
        <w:t>——</w:t>
      </w:r>
      <w:r>
        <w:rPr>
          <w:rFonts w:hint="eastAsia"/>
          <w:sz w:val="24"/>
        </w:rPr>
        <w:t>空气</w:t>
      </w:r>
      <w:r>
        <w:rPr>
          <w:sz w:val="24"/>
          <w:szCs w:val="24"/>
        </w:rPr>
        <w:t>温度设定值，℃。</w:t>
      </w:r>
    </w:p>
    <w:bookmarkEnd w:id="135"/>
    <w:bookmarkEnd w:id="138"/>
    <w:p w14:paraId="54238677">
      <w:pPr>
        <w:pStyle w:val="3"/>
        <w:rPr>
          <w:szCs w:val="24"/>
        </w:rPr>
      </w:pPr>
      <w:bookmarkStart w:id="139" w:name="_Toc196840017"/>
      <w:r>
        <w:rPr>
          <w:rFonts w:hint="eastAsia"/>
        </w:rPr>
        <w:t xml:space="preserve">6.4 </w:t>
      </w:r>
      <w:r>
        <w:rPr>
          <w:rFonts w:hint="eastAsia"/>
          <w:szCs w:val="24"/>
        </w:rPr>
        <w:t>压力示值误差</w:t>
      </w:r>
      <w:bookmarkEnd w:id="139"/>
    </w:p>
    <w:p w14:paraId="2481AC4C">
      <w:pPr>
        <w:pStyle w:val="177"/>
        <w:spacing w:line="360" w:lineRule="auto"/>
        <w:ind w:firstLine="480"/>
        <w:rPr>
          <w:sz w:val="24"/>
        </w:rPr>
      </w:pPr>
      <w:bookmarkStart w:id="140" w:name="_Hlk206272322"/>
      <w:r>
        <w:rPr>
          <w:sz w:val="24"/>
        </w:rPr>
        <w:t>将</w:t>
      </w:r>
      <w:r>
        <w:rPr>
          <w:rFonts w:hint="eastAsia"/>
          <w:sz w:val="24"/>
        </w:rPr>
        <w:t>数字压力计通过压力导管</w:t>
      </w:r>
      <w:r>
        <w:rPr>
          <w:sz w:val="24"/>
        </w:rPr>
        <w:t>连接到</w:t>
      </w:r>
      <w:r>
        <w:rPr>
          <w:rFonts w:hint="eastAsia"/>
          <w:sz w:val="24"/>
        </w:rPr>
        <w:t>空气释放值测定仪的加热空气出气口，接通气源，通入压缩空气</w:t>
      </w:r>
      <w:r>
        <w:rPr>
          <w:sz w:val="24"/>
        </w:rPr>
        <w:t>，</w:t>
      </w:r>
      <w:r>
        <w:rPr>
          <w:rFonts w:hint="eastAsia"/>
          <w:sz w:val="24"/>
        </w:rPr>
        <w:t xml:space="preserve">使压力达到19.6 </w:t>
      </w:r>
      <w:r>
        <w:rPr>
          <w:sz w:val="24"/>
        </w:rPr>
        <w:t>kPa左右，</w:t>
      </w:r>
      <w:r>
        <w:rPr>
          <w:rFonts w:hint="eastAsia"/>
          <w:sz w:val="24"/>
        </w:rPr>
        <w:t>保持压力。</w:t>
      </w:r>
      <w:bookmarkStart w:id="141" w:name="OLE_LINK14"/>
      <w:r>
        <w:rPr>
          <w:sz w:val="24"/>
        </w:rPr>
        <w:t>读取</w:t>
      </w:r>
      <w:r>
        <w:rPr>
          <w:rFonts w:hint="eastAsia"/>
          <w:sz w:val="24"/>
        </w:rPr>
        <w:t>数字压力计</w:t>
      </w:r>
      <w:r>
        <w:rPr>
          <w:sz w:val="24"/>
        </w:rPr>
        <w:t>上的压力值，</w:t>
      </w:r>
      <w:bookmarkStart w:id="142" w:name="OLE_LINK16"/>
      <w:r>
        <w:rPr>
          <w:sz w:val="24"/>
        </w:rPr>
        <w:t>连续测</w:t>
      </w:r>
      <w:r>
        <w:rPr>
          <w:rFonts w:hint="eastAsia"/>
          <w:sz w:val="24"/>
        </w:rPr>
        <w:t>量</w:t>
      </w:r>
      <w:r>
        <w:rPr>
          <w:sz w:val="24"/>
        </w:rPr>
        <w:t>3次</w:t>
      </w:r>
      <w:bookmarkEnd w:id="142"/>
      <w:r>
        <w:rPr>
          <w:sz w:val="24"/>
        </w:rPr>
        <w:t>，取平均值</w:t>
      </w:r>
      <w:r>
        <w:rPr>
          <w:position w:val="-12"/>
          <w:sz w:val="24"/>
        </w:rPr>
        <w:object>
          <v:shape id="_x0000_i1035" o:spt="75" type="#_x0000_t75" style="height:20pt;width:19pt;" o:ole="t" filled="f" o:preferrelative="t" stroked="f" coordsize="21600,21600">
            <v:path/>
            <v:fill on="f" focussize="0,0"/>
            <v:stroke on="f" joinstyle="miter"/>
            <v:imagedata r:id="rId46" o:title=""/>
            <o:lock v:ext="edit" aspectratio="t"/>
            <w10:wrap type="none"/>
            <w10:anchorlock/>
          </v:shape>
          <o:OLEObject Type="Embed" ProgID="Equation.DSMT4" ShapeID="_x0000_i1035" DrawAspect="Content" ObjectID="_1468075736" r:id="rId45">
            <o:LockedField>false</o:LockedField>
          </o:OLEObject>
        </w:object>
      </w:r>
      <w:r>
        <w:rPr>
          <w:sz w:val="24"/>
        </w:rPr>
        <w:t>为测量结果</w:t>
      </w:r>
      <w:bookmarkEnd w:id="141"/>
      <w:r>
        <w:rPr>
          <w:sz w:val="24"/>
        </w:rPr>
        <w:t>。按公式（3）计算压力示值误差。</w:t>
      </w:r>
    </w:p>
    <w:p w14:paraId="771E682F">
      <w:pPr>
        <w:spacing w:line="440" w:lineRule="exact"/>
        <w:jc w:val="right"/>
        <w:rPr>
          <w:rFonts w:hint="eastAsia" w:ascii="宋体" w:hAnsi="宋体" w:cs="宋体"/>
          <w:sz w:val="24"/>
        </w:rPr>
      </w:pPr>
      <w:bookmarkStart w:id="143" w:name="_Hlk207629519"/>
      <w:r>
        <w:rPr>
          <w:rFonts w:hint="eastAsia"/>
          <w:position w:val="-12"/>
        </w:rPr>
        <w:object>
          <v:shape id="_x0000_i1036" o:spt="75" type="#_x0000_t75" style="height:20pt;width:60.05pt;" o:ole="t" filled="f" o:preferrelative="t" stroked="f" coordsize="21600,21600">
            <v:path/>
            <v:fill on="f" focussize="0,0"/>
            <v:stroke on="f" joinstyle="miter"/>
            <v:imagedata r:id="rId48" o:title=""/>
            <o:lock v:ext="edit" aspectratio="t"/>
            <w10:wrap type="none"/>
            <w10:anchorlock/>
          </v:shape>
          <o:OLEObject Type="Embed" ProgID="Equation.DSMT4" ShapeID="_x0000_i1036" DrawAspect="Content" ObjectID="_1468075737" r:id="rId47">
            <o:LockedField>false</o:LockedField>
          </o:OLEObject>
        </w:object>
      </w:r>
      <w:bookmarkEnd w:id="143"/>
      <w:r>
        <w:rPr>
          <w:rFonts w:hint="eastAsia"/>
          <w:position w:val="-12"/>
        </w:rPr>
        <w:t xml:space="preserve">                               </w:t>
      </w:r>
      <w:r>
        <w:rPr>
          <w:rFonts w:hint="eastAsia"/>
          <w:sz w:val="24"/>
          <w:szCs w:val="24"/>
        </w:rPr>
        <w:t>（3）</w:t>
      </w:r>
    </w:p>
    <w:p w14:paraId="648FB8C0">
      <w:pPr>
        <w:spacing w:line="360" w:lineRule="auto"/>
        <w:ind w:firstLine="480" w:firstLineChars="200"/>
        <w:rPr>
          <w:sz w:val="24"/>
          <w:szCs w:val="24"/>
        </w:rPr>
      </w:pPr>
      <w:bookmarkStart w:id="144" w:name="OLE_LINK1"/>
      <w:r>
        <w:rPr>
          <w:rFonts w:hint="eastAsia"/>
          <w:sz w:val="24"/>
          <w:szCs w:val="24"/>
        </w:rPr>
        <w:t>式中：</w:t>
      </w:r>
    </w:p>
    <w:p w14:paraId="78AF8A51">
      <w:pPr>
        <w:spacing w:line="360" w:lineRule="auto"/>
        <w:ind w:firstLine="420" w:firstLineChars="200"/>
        <w:rPr>
          <w:sz w:val="24"/>
          <w:szCs w:val="24"/>
        </w:rPr>
      </w:pPr>
      <w:bookmarkStart w:id="145" w:name="_Hlk207629531"/>
      <w:r>
        <w:rPr>
          <w:rFonts w:hint="eastAsia"/>
          <w:position w:val="-4"/>
        </w:rPr>
        <w:object>
          <v:shape id="_x0000_i1037" o:spt="75" type="#_x0000_t75" style="height:13pt;width:18.9pt;" o:ole="t" filled="f" o:preferrelative="t" stroked="f" coordsize="21600,21600">
            <v:path/>
            <v:fill on="f" focussize="0,0"/>
            <v:stroke on="f" joinstyle="miter"/>
            <v:imagedata r:id="rId50" o:title=""/>
            <o:lock v:ext="edit" aspectratio="t"/>
            <w10:wrap type="none"/>
            <w10:anchorlock/>
          </v:shape>
          <o:OLEObject Type="Embed" ProgID="Equation.DSMT4" ShapeID="_x0000_i1037" DrawAspect="Content" ObjectID="_1468075738" r:id="rId49">
            <o:LockedField>false</o:LockedField>
          </o:OLEObject>
        </w:object>
      </w:r>
      <w:r>
        <w:rPr>
          <w:sz w:val="24"/>
          <w:szCs w:val="24"/>
        </w:rPr>
        <w:t>——</w:t>
      </w:r>
      <w:r>
        <w:rPr>
          <w:rFonts w:hint="eastAsia"/>
          <w:sz w:val="24"/>
          <w:szCs w:val="24"/>
        </w:rPr>
        <w:t>压力示值误差</w:t>
      </w:r>
      <w:r>
        <w:rPr>
          <w:sz w:val="24"/>
          <w:szCs w:val="24"/>
        </w:rPr>
        <w:t>，</w:t>
      </w:r>
      <w:r>
        <w:rPr>
          <w:rFonts w:hint="eastAsia"/>
          <w:sz w:val="24"/>
          <w:szCs w:val="24"/>
        </w:rPr>
        <w:t>kPa</w:t>
      </w:r>
      <w:r>
        <w:rPr>
          <w:sz w:val="24"/>
          <w:szCs w:val="24"/>
        </w:rPr>
        <w:t>；</w:t>
      </w:r>
    </w:p>
    <w:p w14:paraId="015A4D33">
      <w:pPr>
        <w:spacing w:line="360" w:lineRule="auto"/>
        <w:ind w:firstLine="480" w:firstLineChars="200"/>
        <w:rPr>
          <w:sz w:val="24"/>
          <w:szCs w:val="24"/>
        </w:rPr>
      </w:pPr>
      <w:r>
        <w:rPr>
          <w:position w:val="-12"/>
          <w:sz w:val="24"/>
          <w:szCs w:val="24"/>
        </w:rPr>
        <w:object>
          <v:shape id="_x0000_i1038" o:spt="75" type="#_x0000_t75" style="height:20pt;width:13pt;" o:ole="t" filled="f" o:preferrelative="t" stroked="f" coordsize="21600,21600">
            <v:path/>
            <v:fill on="f" focussize="0,0"/>
            <v:stroke on="f" joinstyle="miter"/>
            <v:imagedata r:id="rId52" o:title=""/>
            <o:lock v:ext="edit" aspectratio="t"/>
            <w10:wrap type="none"/>
            <w10:anchorlock/>
          </v:shape>
          <o:OLEObject Type="Embed" ProgID="Equation.DSMT4" ShapeID="_x0000_i1038" DrawAspect="Content" ObjectID="_1468075739" r:id="rId51">
            <o:LockedField>false</o:LockedField>
          </o:OLEObject>
        </w:object>
      </w:r>
      <w:r>
        <w:rPr>
          <w:sz w:val="24"/>
          <w:szCs w:val="24"/>
        </w:rPr>
        <w:t>——</w:t>
      </w:r>
      <w:bookmarkStart w:id="146" w:name="_Hlk204619850"/>
      <w:r>
        <w:rPr>
          <w:rFonts w:hint="eastAsia"/>
          <w:sz w:val="24"/>
          <w:szCs w:val="24"/>
        </w:rPr>
        <w:t>压力测量值的算术平均值</w:t>
      </w:r>
      <w:bookmarkEnd w:id="146"/>
      <w:r>
        <w:rPr>
          <w:sz w:val="24"/>
          <w:szCs w:val="24"/>
        </w:rPr>
        <w:t>，</w:t>
      </w:r>
      <w:r>
        <w:rPr>
          <w:rFonts w:hint="eastAsia"/>
          <w:sz w:val="24"/>
          <w:szCs w:val="24"/>
        </w:rPr>
        <w:t>kPa</w:t>
      </w:r>
      <w:r>
        <w:rPr>
          <w:sz w:val="24"/>
          <w:szCs w:val="24"/>
        </w:rPr>
        <w:t xml:space="preserve">； </w:t>
      </w:r>
    </w:p>
    <w:p w14:paraId="0050561A">
      <w:pPr>
        <w:spacing w:line="360" w:lineRule="auto"/>
        <w:ind w:firstLine="480" w:firstLineChars="200"/>
        <w:rPr>
          <w:position w:val="-12"/>
          <w:sz w:val="24"/>
          <w:szCs w:val="24"/>
        </w:rPr>
      </w:pPr>
      <w:r>
        <w:rPr>
          <w:position w:val="-10"/>
          <w:sz w:val="24"/>
          <w:szCs w:val="24"/>
        </w:rPr>
        <w:object>
          <v:shape id="_x0000_i1039" o:spt="75" type="#_x0000_t75" style="height:18pt;width:14.5pt;" o:ole="t" filled="f" o:preferrelative="t" stroked="f" coordsize="21600,21600">
            <v:path/>
            <v:fill on="f" focussize="0,0"/>
            <v:stroke on="f" joinstyle="miter"/>
            <v:imagedata r:id="rId54" o:title=""/>
            <o:lock v:ext="edit" aspectratio="t"/>
            <w10:wrap type="none"/>
            <w10:anchorlock/>
          </v:shape>
          <o:OLEObject Type="Embed" ProgID="Equation.DSMT4" ShapeID="_x0000_i1039" DrawAspect="Content" ObjectID="_1468075740" r:id="rId53">
            <o:LockedField>false</o:LockedField>
          </o:OLEObject>
        </w:object>
      </w:r>
      <w:r>
        <w:rPr>
          <w:sz w:val="24"/>
          <w:szCs w:val="24"/>
        </w:rPr>
        <w:t>——</w:t>
      </w:r>
      <w:r>
        <w:rPr>
          <w:rFonts w:hint="eastAsia"/>
          <w:sz w:val="24"/>
          <w:szCs w:val="24"/>
        </w:rPr>
        <w:t>空气释放值测定仪压力显示值，kPa。</w:t>
      </w:r>
    </w:p>
    <w:bookmarkEnd w:id="140"/>
    <w:bookmarkEnd w:id="144"/>
    <w:bookmarkEnd w:id="145"/>
    <w:p w14:paraId="0E191AC7">
      <w:pPr>
        <w:pStyle w:val="3"/>
        <w:rPr>
          <w:szCs w:val="24"/>
        </w:rPr>
      </w:pPr>
      <w:bookmarkStart w:id="147" w:name="_Toc196840018"/>
      <w:r>
        <w:rPr>
          <w:rFonts w:hint="eastAsia"/>
        </w:rPr>
        <w:t>6.5 称量</w:t>
      </w:r>
      <w:r>
        <w:rPr>
          <w:rFonts w:hint="eastAsia"/>
          <w:szCs w:val="24"/>
        </w:rPr>
        <w:t>示值误差</w:t>
      </w:r>
      <w:bookmarkEnd w:id="147"/>
    </w:p>
    <w:p w14:paraId="5EAC0690">
      <w:pPr>
        <w:spacing w:line="360" w:lineRule="auto"/>
        <w:rPr>
          <w:sz w:val="24"/>
        </w:rPr>
      </w:pPr>
      <w:r>
        <w:rPr>
          <w:rFonts w:hint="eastAsia"/>
          <w:sz w:val="24"/>
        </w:rPr>
        <w:t xml:space="preserve">6.5.1 </w:t>
      </w:r>
      <w:bookmarkStart w:id="148" w:name="OLE_LINK24"/>
      <w:bookmarkStart w:id="149" w:name="_Hlk206272387"/>
      <w:r>
        <w:rPr>
          <w:rFonts w:hint="eastAsia"/>
          <w:sz w:val="24"/>
        </w:rPr>
        <w:t>在需校准的称量范围均匀选取称量点，至少需有5个不同的试验载荷点，其中需包括零点、最大称量点或接近最大称量点。根据客户的需求可增加测量点</w:t>
      </w:r>
      <w:bookmarkEnd w:id="148"/>
      <w:r>
        <w:rPr>
          <w:rFonts w:hint="eastAsia"/>
          <w:sz w:val="24"/>
        </w:rPr>
        <w:t>。</w:t>
      </w:r>
    </w:p>
    <w:p w14:paraId="40B89C6C">
      <w:pPr>
        <w:spacing w:line="360" w:lineRule="auto"/>
        <w:rPr>
          <w:sz w:val="24"/>
        </w:rPr>
      </w:pPr>
      <w:r>
        <w:rPr>
          <w:rFonts w:hint="eastAsia"/>
          <w:sz w:val="24"/>
        </w:rPr>
        <w:t xml:space="preserve">6.5.2 </w:t>
      </w:r>
      <w:bookmarkStart w:id="150" w:name="OLE_LINK8"/>
      <w:r>
        <w:rPr>
          <w:rFonts w:hint="eastAsia"/>
          <w:sz w:val="24"/>
        </w:rPr>
        <w:t>在每次测量之前，应将天平示值置零。从零载荷顺序增加至最大称量，将标准砝码依次挂到天平上。在天平示值稳定的情况下，读取并记录天平示值</w:t>
      </w:r>
      <w:bookmarkStart w:id="151" w:name="OLE_LINK31"/>
      <w:r>
        <w:rPr>
          <w:rFonts w:hint="eastAsia"/>
          <w:i/>
          <w:iCs/>
          <w:sz w:val="24"/>
        </w:rPr>
        <w:t>m</w:t>
      </w:r>
      <w:r>
        <w:rPr>
          <w:rFonts w:hint="eastAsia"/>
          <w:i/>
          <w:iCs/>
          <w:sz w:val="24"/>
          <w:vertAlign w:val="subscript"/>
        </w:rPr>
        <w:t>i</w:t>
      </w:r>
      <w:bookmarkEnd w:id="151"/>
      <w:r>
        <w:rPr>
          <w:rFonts w:hint="eastAsia"/>
          <w:sz w:val="24"/>
        </w:rPr>
        <w:t>。对于每一个试验载荷，用公式（4）计算示值误差。</w:t>
      </w:r>
    </w:p>
    <w:bookmarkEnd w:id="150"/>
    <w:p w14:paraId="0FD67765">
      <w:pPr>
        <w:spacing w:line="360" w:lineRule="auto"/>
        <w:jc w:val="right"/>
        <w:rPr>
          <w:sz w:val="24"/>
        </w:rPr>
      </w:pPr>
      <w:r>
        <w:rPr>
          <w:position w:val="-10"/>
          <w:sz w:val="24"/>
        </w:rPr>
        <w:object>
          <v:shape id="_x0000_i1040" o:spt="75" type="#_x0000_t75" style="height:18.5pt;width:73.4pt;" o:ole="t" filled="f" o:preferrelative="t" stroked="f" coordsize="21600,21600">
            <v:path/>
            <v:fill on="f" focussize="0,0"/>
            <v:stroke on="f" joinstyle="miter"/>
            <v:imagedata r:id="rId56" o:title=""/>
            <o:lock v:ext="edit" aspectratio="t"/>
            <w10:wrap type="none"/>
            <w10:anchorlock/>
          </v:shape>
          <o:OLEObject Type="Embed" ProgID="Equation.DSMT4" ShapeID="_x0000_i1040" DrawAspect="Content" ObjectID="_1468075741" r:id="rId55">
            <o:LockedField>false</o:LockedField>
          </o:OLEObject>
        </w:object>
      </w:r>
      <w:r>
        <w:rPr>
          <w:sz w:val="24"/>
        </w:rPr>
        <w:t xml:space="preserve"> </w:t>
      </w:r>
      <w:r>
        <w:rPr>
          <w:rFonts w:hint="eastAsia"/>
          <w:sz w:val="24"/>
        </w:rPr>
        <w:t xml:space="preserve">                          （4）</w:t>
      </w:r>
    </w:p>
    <w:p w14:paraId="74A4597C">
      <w:pPr>
        <w:spacing w:line="360" w:lineRule="auto"/>
        <w:ind w:firstLine="480" w:firstLineChars="200"/>
        <w:rPr>
          <w:sz w:val="24"/>
          <w:szCs w:val="24"/>
        </w:rPr>
      </w:pPr>
      <w:bookmarkStart w:id="152" w:name="OLE_LINK58"/>
      <w:r>
        <w:rPr>
          <w:rFonts w:hint="eastAsia"/>
          <w:sz w:val="24"/>
          <w:szCs w:val="24"/>
        </w:rPr>
        <w:t>式中：</w:t>
      </w:r>
    </w:p>
    <w:p w14:paraId="6009D378">
      <w:pPr>
        <w:spacing w:line="360" w:lineRule="auto"/>
        <w:ind w:firstLine="480" w:firstLineChars="200"/>
        <w:rPr>
          <w:sz w:val="24"/>
          <w:szCs w:val="24"/>
        </w:rPr>
      </w:pPr>
      <w:r>
        <w:rPr>
          <w:i/>
          <w:iCs/>
          <w:position w:val="-6"/>
          <w:sz w:val="24"/>
        </w:rPr>
        <w:object>
          <v:shape id="_x0000_i1041" o:spt="75" type="#_x0000_t75" style="height:14.5pt;width:20.55pt;" o:ole="t" filled="f" o:preferrelative="t" stroked="f" coordsize="21600,21600">
            <v:path/>
            <v:fill on="f" focussize="0,0"/>
            <v:stroke on="f" joinstyle="miter"/>
            <v:imagedata r:id="rId58" o:title=""/>
            <o:lock v:ext="edit" aspectratio="t"/>
            <w10:wrap type="none"/>
            <w10:anchorlock/>
          </v:shape>
          <o:OLEObject Type="Embed" ProgID="Equation.DSMT4" ShapeID="_x0000_i1041" DrawAspect="Content" ObjectID="_1468075742" r:id="rId57">
            <o:LockedField>false</o:LockedField>
          </o:OLEObject>
        </w:object>
      </w:r>
      <w:r>
        <w:rPr>
          <w:sz w:val="24"/>
          <w:szCs w:val="24"/>
        </w:rPr>
        <w:t>——</w:t>
      </w:r>
      <w:r>
        <w:rPr>
          <w:rFonts w:hint="eastAsia"/>
          <w:sz w:val="24"/>
          <w:szCs w:val="24"/>
        </w:rPr>
        <w:t>称量示值误差</w:t>
      </w:r>
      <w:r>
        <w:rPr>
          <w:sz w:val="24"/>
          <w:szCs w:val="24"/>
        </w:rPr>
        <w:t>，</w:t>
      </w:r>
      <w:r>
        <w:rPr>
          <w:rFonts w:hint="eastAsia"/>
          <w:sz w:val="24"/>
          <w:szCs w:val="24"/>
        </w:rPr>
        <w:t>g</w:t>
      </w:r>
      <w:r>
        <w:rPr>
          <w:sz w:val="24"/>
          <w:szCs w:val="24"/>
        </w:rPr>
        <w:t>；</w:t>
      </w:r>
    </w:p>
    <w:p w14:paraId="7402924F">
      <w:pPr>
        <w:spacing w:line="360" w:lineRule="auto"/>
        <w:ind w:firstLine="480" w:firstLineChars="200"/>
        <w:rPr>
          <w:sz w:val="24"/>
          <w:szCs w:val="24"/>
        </w:rPr>
      </w:pPr>
      <w:r>
        <w:rPr>
          <w:rFonts w:hint="eastAsia"/>
          <w:i/>
          <w:iCs/>
          <w:sz w:val="24"/>
        </w:rPr>
        <w:t>m</w:t>
      </w:r>
      <w:r>
        <w:rPr>
          <w:rFonts w:hint="eastAsia"/>
          <w:i/>
          <w:iCs/>
          <w:sz w:val="24"/>
          <w:vertAlign w:val="subscript"/>
        </w:rPr>
        <w:t>i</w:t>
      </w:r>
      <w:r>
        <w:rPr>
          <w:sz w:val="24"/>
          <w:szCs w:val="24"/>
        </w:rPr>
        <w:t>——</w:t>
      </w:r>
      <w:r>
        <w:rPr>
          <w:rFonts w:hint="eastAsia"/>
          <w:sz w:val="24"/>
          <w:szCs w:val="24"/>
        </w:rPr>
        <w:t>天平示值</w:t>
      </w:r>
      <w:r>
        <w:rPr>
          <w:sz w:val="24"/>
          <w:szCs w:val="24"/>
        </w:rPr>
        <w:t>，</w:t>
      </w:r>
      <w:r>
        <w:rPr>
          <w:rFonts w:hint="eastAsia"/>
          <w:sz w:val="24"/>
          <w:szCs w:val="24"/>
        </w:rPr>
        <w:t>g</w:t>
      </w:r>
      <w:r>
        <w:rPr>
          <w:sz w:val="24"/>
          <w:szCs w:val="24"/>
        </w:rPr>
        <w:t xml:space="preserve">； </w:t>
      </w:r>
    </w:p>
    <w:p w14:paraId="1C4A2B75">
      <w:pPr>
        <w:spacing w:line="360" w:lineRule="auto"/>
        <w:ind w:firstLine="480" w:firstLineChars="200"/>
        <w:rPr>
          <w:position w:val="-12"/>
          <w:sz w:val="24"/>
          <w:szCs w:val="24"/>
        </w:rPr>
      </w:pPr>
      <w:bookmarkStart w:id="153" w:name="OLE_LINK6"/>
      <w:r>
        <w:rPr>
          <w:rFonts w:hint="eastAsia"/>
          <w:i/>
          <w:iCs/>
          <w:sz w:val="24"/>
          <w:szCs w:val="24"/>
        </w:rPr>
        <w:t>m</w:t>
      </w:r>
      <w:r>
        <w:rPr>
          <w:rFonts w:hint="eastAsia"/>
          <w:sz w:val="24"/>
          <w:szCs w:val="24"/>
          <w:vertAlign w:val="subscript"/>
        </w:rPr>
        <w:t>ref</w:t>
      </w:r>
      <w:r>
        <w:rPr>
          <w:sz w:val="24"/>
          <w:szCs w:val="24"/>
        </w:rPr>
        <w:t>——</w:t>
      </w:r>
      <w:r>
        <w:rPr>
          <w:rFonts w:hint="eastAsia"/>
          <w:sz w:val="24"/>
          <w:szCs w:val="24"/>
        </w:rPr>
        <w:t>试验载荷的参考质量，g。</w:t>
      </w:r>
    </w:p>
    <w:bookmarkEnd w:id="122"/>
    <w:bookmarkEnd w:id="149"/>
    <w:bookmarkEnd w:id="152"/>
    <w:bookmarkEnd w:id="153"/>
    <w:p w14:paraId="6457DBEC">
      <w:pPr>
        <w:pStyle w:val="2"/>
        <w:numPr>
          <w:ilvl w:val="255"/>
          <w:numId w:val="0"/>
        </w:numPr>
        <w:spacing w:before="0" w:after="0"/>
      </w:pPr>
      <w:bookmarkStart w:id="154" w:name="_Toc462838185"/>
      <w:bookmarkStart w:id="155" w:name="_Toc27318"/>
      <w:bookmarkStart w:id="156" w:name="_Toc73367159"/>
      <w:bookmarkStart w:id="157" w:name="_Toc17773"/>
      <w:bookmarkStart w:id="158" w:name="_Toc1339"/>
      <w:bookmarkStart w:id="159" w:name="_Toc99635395"/>
      <w:bookmarkStart w:id="160" w:name="_Toc18542"/>
      <w:bookmarkStart w:id="161" w:name="_Toc15156"/>
      <w:bookmarkStart w:id="162" w:name="_Toc196840019"/>
      <w:bookmarkStart w:id="163" w:name="mbookmark5"/>
      <w:r>
        <w:rPr>
          <w:rFonts w:hint="eastAsia"/>
        </w:rPr>
        <w:t xml:space="preserve">7 </w:t>
      </w:r>
      <w:r>
        <w:t>校准结果</w:t>
      </w:r>
      <w:bookmarkEnd w:id="154"/>
      <w:r>
        <w:rPr>
          <w:rFonts w:hint="eastAsia"/>
        </w:rPr>
        <w:t>表达</w:t>
      </w:r>
      <w:bookmarkEnd w:id="155"/>
      <w:bookmarkEnd w:id="156"/>
      <w:bookmarkEnd w:id="157"/>
      <w:bookmarkEnd w:id="158"/>
      <w:bookmarkEnd w:id="159"/>
      <w:bookmarkEnd w:id="160"/>
      <w:bookmarkEnd w:id="161"/>
      <w:bookmarkEnd w:id="162"/>
    </w:p>
    <w:p w14:paraId="199CC8F9">
      <w:pPr>
        <w:spacing w:line="360" w:lineRule="auto"/>
        <w:ind w:firstLine="480" w:firstLineChars="200"/>
        <w:rPr>
          <w:sz w:val="24"/>
          <w:szCs w:val="24"/>
        </w:rPr>
      </w:pPr>
      <w:bookmarkStart w:id="164" w:name="_Toc462838186"/>
      <w:r>
        <w:rPr>
          <w:rFonts w:hint="eastAsia"/>
          <w:sz w:val="24"/>
          <w:szCs w:val="24"/>
        </w:rPr>
        <w:t>校准结果应在校准证书上反映。校准证书应至少包括以下信息：</w:t>
      </w:r>
    </w:p>
    <w:p w14:paraId="2ED6C2F0">
      <w:pPr>
        <w:spacing w:line="360" w:lineRule="auto"/>
        <w:ind w:firstLine="480"/>
        <w:rPr>
          <w:sz w:val="24"/>
          <w:szCs w:val="24"/>
        </w:rPr>
      </w:pPr>
      <w:r>
        <w:rPr>
          <w:sz w:val="24"/>
          <w:szCs w:val="24"/>
        </w:rPr>
        <w:t>a</w:t>
      </w:r>
      <w:r>
        <w:rPr>
          <w:rFonts w:hint="eastAsia"/>
          <w:sz w:val="24"/>
          <w:szCs w:val="24"/>
        </w:rPr>
        <w:t>）标题：“校准证书”；</w:t>
      </w:r>
    </w:p>
    <w:p w14:paraId="000139CC">
      <w:pPr>
        <w:spacing w:line="360" w:lineRule="auto"/>
        <w:ind w:firstLine="480"/>
        <w:rPr>
          <w:sz w:val="24"/>
          <w:szCs w:val="24"/>
        </w:rPr>
      </w:pPr>
      <w:r>
        <w:rPr>
          <w:sz w:val="24"/>
          <w:szCs w:val="24"/>
        </w:rPr>
        <w:t>b</w:t>
      </w:r>
      <w:r>
        <w:rPr>
          <w:rFonts w:hint="eastAsia"/>
          <w:sz w:val="24"/>
          <w:szCs w:val="24"/>
        </w:rPr>
        <w:t>）实验室名称和地址；</w:t>
      </w:r>
    </w:p>
    <w:p w14:paraId="4A12FAF6">
      <w:pPr>
        <w:spacing w:line="360" w:lineRule="auto"/>
        <w:ind w:firstLine="480"/>
        <w:rPr>
          <w:sz w:val="24"/>
          <w:szCs w:val="24"/>
        </w:rPr>
      </w:pPr>
      <w:r>
        <w:rPr>
          <w:sz w:val="24"/>
          <w:szCs w:val="24"/>
        </w:rPr>
        <w:t>c</w:t>
      </w:r>
      <w:r>
        <w:rPr>
          <w:rFonts w:hint="eastAsia"/>
          <w:sz w:val="24"/>
          <w:szCs w:val="24"/>
        </w:rPr>
        <w:t>）进行校准的地点（如果与实验室的地址不同）；</w:t>
      </w:r>
    </w:p>
    <w:p w14:paraId="55327D85">
      <w:pPr>
        <w:spacing w:line="360" w:lineRule="auto"/>
        <w:ind w:firstLine="480"/>
        <w:rPr>
          <w:sz w:val="24"/>
          <w:szCs w:val="24"/>
        </w:rPr>
      </w:pPr>
      <w:r>
        <w:rPr>
          <w:sz w:val="24"/>
          <w:szCs w:val="24"/>
        </w:rPr>
        <w:t>d</w:t>
      </w:r>
      <w:r>
        <w:rPr>
          <w:rFonts w:hint="eastAsia"/>
          <w:sz w:val="24"/>
          <w:szCs w:val="24"/>
        </w:rPr>
        <w:t>）证书的唯一性标识（如编号），每页及总页数的标识；</w:t>
      </w:r>
    </w:p>
    <w:p w14:paraId="0D0629F7">
      <w:pPr>
        <w:snapToGrid w:val="0"/>
        <w:spacing w:line="360" w:lineRule="auto"/>
        <w:ind w:firstLine="482"/>
        <w:rPr>
          <w:sz w:val="24"/>
          <w:szCs w:val="24"/>
        </w:rPr>
      </w:pPr>
      <w:r>
        <w:rPr>
          <w:sz w:val="24"/>
          <w:szCs w:val="24"/>
        </w:rPr>
        <w:t>e</w:t>
      </w:r>
      <w:r>
        <w:rPr>
          <w:rFonts w:hint="eastAsia"/>
          <w:sz w:val="24"/>
          <w:szCs w:val="24"/>
        </w:rPr>
        <w:t>）客户名称和地址；</w:t>
      </w:r>
    </w:p>
    <w:p w14:paraId="4084A99E">
      <w:pPr>
        <w:snapToGrid w:val="0"/>
        <w:spacing w:line="360" w:lineRule="auto"/>
        <w:ind w:firstLine="482"/>
        <w:rPr>
          <w:sz w:val="24"/>
          <w:szCs w:val="24"/>
        </w:rPr>
      </w:pPr>
      <w:r>
        <w:rPr>
          <w:sz w:val="24"/>
          <w:szCs w:val="24"/>
        </w:rPr>
        <w:t>f</w:t>
      </w:r>
      <w:r>
        <w:rPr>
          <w:rFonts w:hint="eastAsia"/>
          <w:sz w:val="24"/>
          <w:szCs w:val="24"/>
        </w:rPr>
        <w:t>）被校仪器的制造单位、名称、型号及编号；</w:t>
      </w:r>
    </w:p>
    <w:p w14:paraId="3C6BF7C7">
      <w:pPr>
        <w:snapToGrid w:val="0"/>
        <w:spacing w:line="360" w:lineRule="auto"/>
        <w:ind w:firstLine="482"/>
        <w:rPr>
          <w:sz w:val="24"/>
          <w:szCs w:val="24"/>
        </w:rPr>
      </w:pPr>
      <w:r>
        <w:rPr>
          <w:sz w:val="24"/>
          <w:szCs w:val="24"/>
        </w:rPr>
        <w:t>g</w:t>
      </w:r>
      <w:r>
        <w:rPr>
          <w:rFonts w:hint="eastAsia"/>
          <w:sz w:val="24"/>
          <w:szCs w:val="24"/>
        </w:rPr>
        <w:t>）进行校准的日期，如果与校准结果的有效性和应用有关时，应说明被校对象的接受日期；</w:t>
      </w:r>
    </w:p>
    <w:p w14:paraId="150D5DEB">
      <w:pPr>
        <w:snapToGrid w:val="0"/>
        <w:spacing w:line="360" w:lineRule="auto"/>
        <w:ind w:firstLine="482"/>
        <w:rPr>
          <w:sz w:val="24"/>
          <w:szCs w:val="24"/>
        </w:rPr>
      </w:pPr>
      <w:r>
        <w:rPr>
          <w:rFonts w:hint="eastAsia"/>
          <w:sz w:val="24"/>
          <w:szCs w:val="24"/>
        </w:rPr>
        <w:t>h）如果与校准结果的有效性和应用相关时，应对被校样品的抽样程序进行说明；</w:t>
      </w:r>
    </w:p>
    <w:p w14:paraId="3CD8C4EE">
      <w:pPr>
        <w:snapToGrid w:val="0"/>
        <w:spacing w:line="360" w:lineRule="auto"/>
        <w:ind w:firstLine="482"/>
        <w:rPr>
          <w:sz w:val="24"/>
          <w:szCs w:val="24"/>
        </w:rPr>
      </w:pPr>
      <w:r>
        <w:rPr>
          <w:rFonts w:hint="eastAsia"/>
          <w:sz w:val="24"/>
          <w:szCs w:val="24"/>
        </w:rPr>
        <w:t>i）校准所依据的技术规范的标识，包括名称及代号；</w:t>
      </w:r>
    </w:p>
    <w:p w14:paraId="6307C004">
      <w:pPr>
        <w:snapToGrid w:val="0"/>
        <w:spacing w:line="360" w:lineRule="auto"/>
        <w:ind w:firstLine="482"/>
        <w:rPr>
          <w:sz w:val="24"/>
          <w:szCs w:val="24"/>
        </w:rPr>
      </w:pPr>
      <w:r>
        <w:rPr>
          <w:rFonts w:hint="eastAsia"/>
          <w:sz w:val="24"/>
          <w:szCs w:val="24"/>
        </w:rPr>
        <w:t>j）本次校准所用测量标准的溯源性及有效性说明；</w:t>
      </w:r>
    </w:p>
    <w:p w14:paraId="3B5E4653">
      <w:pPr>
        <w:snapToGrid w:val="0"/>
        <w:spacing w:line="360" w:lineRule="auto"/>
        <w:ind w:firstLine="482"/>
        <w:rPr>
          <w:sz w:val="24"/>
          <w:szCs w:val="24"/>
        </w:rPr>
      </w:pPr>
      <w:r>
        <w:rPr>
          <w:rFonts w:hint="eastAsia"/>
          <w:sz w:val="24"/>
          <w:szCs w:val="24"/>
        </w:rPr>
        <w:t>k）校准环境的描述；</w:t>
      </w:r>
    </w:p>
    <w:p w14:paraId="2ABCB512">
      <w:pPr>
        <w:spacing w:line="360" w:lineRule="auto"/>
        <w:ind w:firstLine="480"/>
        <w:rPr>
          <w:sz w:val="24"/>
          <w:szCs w:val="24"/>
        </w:rPr>
      </w:pPr>
      <w:r>
        <w:rPr>
          <w:rFonts w:hint="eastAsia"/>
          <w:sz w:val="24"/>
          <w:szCs w:val="24"/>
        </w:rPr>
        <w:t>l）校准结果及其测量不确定度的说明；</w:t>
      </w:r>
    </w:p>
    <w:p w14:paraId="247B41FE">
      <w:pPr>
        <w:spacing w:line="360" w:lineRule="auto"/>
        <w:ind w:firstLine="480"/>
        <w:rPr>
          <w:sz w:val="24"/>
          <w:szCs w:val="24"/>
        </w:rPr>
      </w:pPr>
      <w:r>
        <w:rPr>
          <w:rFonts w:hint="eastAsia"/>
          <w:sz w:val="24"/>
          <w:szCs w:val="24"/>
        </w:rPr>
        <w:t>m）对校准规范的偏离的说明（如有）；</w:t>
      </w:r>
    </w:p>
    <w:p w14:paraId="279F6792">
      <w:pPr>
        <w:spacing w:line="360" w:lineRule="auto"/>
        <w:ind w:firstLine="480"/>
        <w:rPr>
          <w:sz w:val="24"/>
          <w:szCs w:val="24"/>
        </w:rPr>
      </w:pPr>
      <w:r>
        <w:rPr>
          <w:rFonts w:hint="eastAsia"/>
          <w:sz w:val="24"/>
          <w:szCs w:val="24"/>
        </w:rPr>
        <w:t>n）校准证书或校准报告签发人的签名、职务或等效标识；</w:t>
      </w:r>
    </w:p>
    <w:p w14:paraId="29550BA8">
      <w:pPr>
        <w:spacing w:line="360" w:lineRule="auto"/>
        <w:ind w:firstLine="480"/>
        <w:rPr>
          <w:sz w:val="24"/>
          <w:szCs w:val="24"/>
        </w:rPr>
      </w:pPr>
      <w:r>
        <w:rPr>
          <w:rFonts w:hint="eastAsia"/>
          <w:sz w:val="24"/>
          <w:szCs w:val="24"/>
        </w:rPr>
        <w:t>o）校准结果仅对被校对象有效的声明；</w:t>
      </w:r>
    </w:p>
    <w:p w14:paraId="3EACE7AD">
      <w:pPr>
        <w:spacing w:line="360" w:lineRule="auto"/>
        <w:ind w:firstLine="480"/>
        <w:rPr>
          <w:sz w:val="24"/>
          <w:szCs w:val="24"/>
        </w:rPr>
      </w:pPr>
      <w:r>
        <w:rPr>
          <w:rFonts w:hint="eastAsia"/>
          <w:sz w:val="24"/>
          <w:szCs w:val="24"/>
        </w:rPr>
        <w:t>p）未经实验室书面批准，不得部分复制证书的声明。</w:t>
      </w:r>
    </w:p>
    <w:p w14:paraId="0A40A1CE">
      <w:pPr>
        <w:pStyle w:val="2"/>
        <w:numPr>
          <w:ilvl w:val="255"/>
          <w:numId w:val="0"/>
        </w:numPr>
        <w:spacing w:before="0" w:after="0"/>
      </w:pPr>
      <w:bookmarkStart w:id="165" w:name="_Toc9510"/>
      <w:bookmarkStart w:id="166" w:name="_Toc8976"/>
      <w:bookmarkStart w:id="167" w:name="_Toc73367160"/>
      <w:bookmarkStart w:id="168" w:name="_Toc20537"/>
      <w:bookmarkStart w:id="169" w:name="_Toc196840020"/>
      <w:bookmarkStart w:id="170" w:name="_Toc4434"/>
      <w:bookmarkStart w:id="171" w:name="_Toc5510"/>
      <w:bookmarkStart w:id="172" w:name="_Toc99635396"/>
      <w:r>
        <w:rPr>
          <w:rFonts w:hint="eastAsia"/>
        </w:rPr>
        <w:t xml:space="preserve">8 </w:t>
      </w:r>
      <w:r>
        <w:t>复校时间间隔</w:t>
      </w:r>
      <w:bookmarkEnd w:id="164"/>
      <w:bookmarkEnd w:id="165"/>
      <w:bookmarkEnd w:id="166"/>
      <w:bookmarkEnd w:id="167"/>
      <w:bookmarkEnd w:id="168"/>
      <w:bookmarkEnd w:id="169"/>
      <w:bookmarkEnd w:id="170"/>
      <w:bookmarkEnd w:id="171"/>
      <w:bookmarkEnd w:id="172"/>
    </w:p>
    <w:p w14:paraId="6C8C1A06">
      <w:pPr>
        <w:pStyle w:val="177"/>
        <w:numPr>
          <w:ilvl w:val="0"/>
          <w:numId w:val="2"/>
        </w:numPr>
        <w:snapToGrid w:val="0"/>
        <w:spacing w:line="360" w:lineRule="auto"/>
        <w:ind w:left="0" w:firstLine="480"/>
        <w:rPr>
          <w:sz w:val="24"/>
        </w:rPr>
      </w:pPr>
      <w:r>
        <w:rPr>
          <w:rFonts w:hint="eastAsia"/>
          <w:sz w:val="24"/>
        </w:rPr>
        <w:t>空气释放值测定仪的</w:t>
      </w:r>
      <w:r>
        <w:rPr>
          <w:sz w:val="24"/>
        </w:rPr>
        <w:t>复校时间间隔</w:t>
      </w:r>
      <w:r>
        <w:rPr>
          <w:rFonts w:hint="eastAsia"/>
          <w:sz w:val="24"/>
        </w:rPr>
        <w:t>建议不超过</w:t>
      </w:r>
      <w:r>
        <w:rPr>
          <w:sz w:val="24"/>
        </w:rPr>
        <w:t>12</w:t>
      </w:r>
      <w:r>
        <w:rPr>
          <w:rFonts w:hint="eastAsia"/>
          <w:sz w:val="24"/>
        </w:rPr>
        <w:t>个月</w:t>
      </w:r>
      <w:r>
        <w:rPr>
          <w:sz w:val="24"/>
        </w:rPr>
        <w:t>。</w:t>
      </w:r>
      <w:r>
        <w:rPr>
          <w:rFonts w:hint="eastAsia"/>
          <w:sz w:val="24"/>
        </w:rPr>
        <w:t>由于复校时间间隔的长短是由空气释放值测定仪的使用情况、使用者、空气释放值测定仪本身质量等诸因素所决定的，因此，送校单位可根据实际使用情况自主决定复校时间间隔。</w:t>
      </w:r>
    </w:p>
    <w:p w14:paraId="55CF4F3D">
      <w:pPr>
        <w:widowControl/>
        <w:adjustRightInd/>
        <w:spacing w:line="240" w:lineRule="auto"/>
        <w:jc w:val="left"/>
        <w:rPr>
          <w:rFonts w:eastAsia="黑体"/>
          <w:color w:val="000000"/>
          <w:kern w:val="0"/>
          <w:sz w:val="28"/>
          <w:szCs w:val="28"/>
        </w:rPr>
      </w:pPr>
      <w:bookmarkStart w:id="173" w:name="_Toc14228"/>
      <w:bookmarkStart w:id="174" w:name="_Toc73367161"/>
      <w:bookmarkStart w:id="175" w:name="_Toc99635397"/>
      <w:bookmarkStart w:id="176" w:name="_Toc25405"/>
      <w:bookmarkStart w:id="177" w:name="_Toc14235"/>
      <w:bookmarkStart w:id="178" w:name="_Toc12313"/>
      <w:bookmarkStart w:id="179" w:name="_Toc30928"/>
      <w:r>
        <w:rPr>
          <w:color w:val="000000"/>
          <w:sz w:val="28"/>
          <w:szCs w:val="28"/>
        </w:rPr>
        <w:br w:type="page"/>
      </w:r>
    </w:p>
    <w:p w14:paraId="0D1FC921">
      <w:pPr>
        <w:pStyle w:val="146"/>
        <w:spacing w:line="300" w:lineRule="auto"/>
        <w:jc w:val="left"/>
        <w:rPr>
          <w:rFonts w:ascii="Times New Roman"/>
          <w:color w:val="000000"/>
          <w:sz w:val="28"/>
          <w:szCs w:val="28"/>
        </w:rPr>
      </w:pPr>
      <w:bookmarkStart w:id="180" w:name="_Toc196840021"/>
      <w:r>
        <w:rPr>
          <w:rFonts w:hint="eastAsia" w:ascii="Times New Roman"/>
          <w:color w:val="000000"/>
          <w:sz w:val="28"/>
          <w:szCs w:val="28"/>
        </w:rPr>
        <w:t>附录</w:t>
      </w:r>
      <w:r>
        <w:rPr>
          <w:rFonts w:ascii="Times New Roman"/>
          <w:color w:val="000000"/>
          <w:sz w:val="28"/>
          <w:szCs w:val="28"/>
        </w:rPr>
        <w:t>A</w:t>
      </w:r>
      <w:bookmarkEnd w:id="173"/>
      <w:bookmarkEnd w:id="174"/>
      <w:bookmarkEnd w:id="175"/>
      <w:bookmarkEnd w:id="176"/>
      <w:bookmarkEnd w:id="177"/>
      <w:bookmarkEnd w:id="178"/>
      <w:bookmarkEnd w:id="179"/>
      <w:bookmarkEnd w:id="180"/>
    </w:p>
    <w:p w14:paraId="1773B508">
      <w:pPr>
        <w:widowControl/>
        <w:jc w:val="center"/>
        <w:rPr>
          <w:rFonts w:eastAsia="黑体"/>
          <w:sz w:val="28"/>
          <w:szCs w:val="28"/>
        </w:rPr>
      </w:pPr>
      <w:bookmarkStart w:id="181" w:name="_Hlk99635410"/>
      <w:r>
        <w:rPr>
          <w:rFonts w:hint="eastAsia" w:eastAsia="黑体"/>
          <w:sz w:val="28"/>
          <w:szCs w:val="28"/>
        </w:rPr>
        <w:t>润滑油空气释放值测定仪校准原始记录参考格式</w:t>
      </w:r>
      <w:bookmarkEnd w:id="181"/>
    </w:p>
    <w:p w14:paraId="4CF4B6AB">
      <w:pPr>
        <w:shd w:val="clear" w:color="auto" w:fill="FFFFFF"/>
        <w:autoSpaceDE w:val="0"/>
        <w:autoSpaceDN w:val="0"/>
        <w:ind w:firstLine="480" w:firstLineChars="200"/>
        <w:jc w:val="left"/>
        <w:rPr>
          <w:kern w:val="0"/>
          <w:sz w:val="24"/>
        </w:rPr>
      </w:pPr>
    </w:p>
    <w:p w14:paraId="631091E4">
      <w:pPr>
        <w:shd w:val="clear" w:color="auto" w:fill="FFFFFF"/>
        <w:autoSpaceDE w:val="0"/>
        <w:autoSpaceDN w:val="0"/>
        <w:spacing w:line="360" w:lineRule="auto"/>
        <w:ind w:firstLine="480" w:firstLineChars="200"/>
        <w:jc w:val="left"/>
        <w:rPr>
          <w:rFonts w:eastAsia="黑体"/>
          <w:sz w:val="24"/>
        </w:rPr>
      </w:pPr>
      <w:r>
        <w:rPr>
          <w:rFonts w:hint="eastAsia"/>
          <w:kern w:val="0"/>
          <w:sz w:val="24"/>
        </w:rPr>
        <w:t xml:space="preserve">证书编号： </w:t>
      </w:r>
      <w:r>
        <w:rPr>
          <w:kern w:val="0"/>
          <w:sz w:val="24"/>
        </w:rPr>
        <w:t xml:space="preserve">                                </w:t>
      </w:r>
      <w:r>
        <w:rPr>
          <w:rFonts w:hint="eastAsia"/>
          <w:kern w:val="0"/>
          <w:sz w:val="24"/>
        </w:rPr>
        <w:t>原始记录编号：</w:t>
      </w:r>
    </w:p>
    <w:tbl>
      <w:tblPr>
        <w:tblStyle w:val="3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233"/>
        <w:gridCol w:w="704"/>
        <w:gridCol w:w="533"/>
        <w:gridCol w:w="1016"/>
        <w:gridCol w:w="1547"/>
        <w:gridCol w:w="52"/>
        <w:gridCol w:w="1454"/>
        <w:gridCol w:w="1590"/>
      </w:tblGrid>
      <w:tr w14:paraId="78D5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500" w:type="pct"/>
            <w:gridSpan w:val="5"/>
            <w:tcBorders>
              <w:top w:val="single" w:color="auto" w:sz="4" w:space="0"/>
              <w:left w:val="single" w:color="auto" w:sz="4" w:space="0"/>
              <w:bottom w:val="single" w:color="auto" w:sz="4" w:space="0"/>
              <w:right w:val="single" w:color="auto" w:sz="4" w:space="0"/>
            </w:tcBorders>
            <w:vAlign w:val="center"/>
          </w:tcPr>
          <w:p w14:paraId="0DB9B485">
            <w:pPr>
              <w:shd w:val="clear" w:color="auto" w:fill="FFFFFF"/>
              <w:autoSpaceDE w:val="0"/>
              <w:autoSpaceDN w:val="0"/>
              <w:spacing w:line="240" w:lineRule="auto"/>
              <w:rPr>
                <w:szCs w:val="21"/>
              </w:rPr>
            </w:pPr>
            <w:r>
              <w:rPr>
                <w:szCs w:val="21"/>
              </w:rPr>
              <w:t>送校单位：</w:t>
            </w:r>
          </w:p>
        </w:tc>
        <w:tc>
          <w:tcPr>
            <w:tcW w:w="2500" w:type="pct"/>
            <w:gridSpan w:val="4"/>
            <w:tcBorders>
              <w:top w:val="single" w:color="auto" w:sz="4" w:space="0"/>
              <w:left w:val="single" w:color="auto" w:sz="4" w:space="0"/>
              <w:bottom w:val="single" w:color="auto" w:sz="4" w:space="0"/>
              <w:right w:val="single" w:color="auto" w:sz="4" w:space="0"/>
            </w:tcBorders>
            <w:vAlign w:val="center"/>
          </w:tcPr>
          <w:p w14:paraId="284EF9E1">
            <w:pPr>
              <w:shd w:val="clear" w:color="auto" w:fill="FFFFFF"/>
              <w:autoSpaceDE w:val="0"/>
              <w:autoSpaceDN w:val="0"/>
              <w:spacing w:line="240" w:lineRule="auto"/>
              <w:rPr>
                <w:szCs w:val="21"/>
              </w:rPr>
            </w:pPr>
            <w:r>
              <w:rPr>
                <w:rFonts w:hint="eastAsia"/>
                <w:szCs w:val="21"/>
              </w:rPr>
              <w:t>仪器名称：</w:t>
            </w:r>
          </w:p>
        </w:tc>
      </w:tr>
      <w:tr w14:paraId="16C8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6" w:type="pct"/>
            <w:gridSpan w:val="3"/>
            <w:tcBorders>
              <w:top w:val="single" w:color="auto" w:sz="4" w:space="0"/>
              <w:left w:val="single" w:color="auto" w:sz="4" w:space="0"/>
              <w:bottom w:val="single" w:color="auto" w:sz="4" w:space="0"/>
              <w:right w:val="single" w:color="auto" w:sz="4" w:space="0"/>
            </w:tcBorders>
            <w:vAlign w:val="center"/>
          </w:tcPr>
          <w:p w14:paraId="1EE033A6">
            <w:pPr>
              <w:shd w:val="clear" w:color="auto" w:fill="FFFFFF"/>
              <w:autoSpaceDE w:val="0"/>
              <w:autoSpaceDN w:val="0"/>
              <w:spacing w:line="240" w:lineRule="auto"/>
              <w:rPr>
                <w:szCs w:val="21"/>
              </w:rPr>
            </w:pPr>
            <w:r>
              <w:rPr>
                <w:szCs w:val="21"/>
              </w:rPr>
              <w:t>制造厂：</w:t>
            </w:r>
          </w:p>
        </w:tc>
        <w:tc>
          <w:tcPr>
            <w:tcW w:w="1667" w:type="pct"/>
            <w:gridSpan w:val="3"/>
            <w:tcBorders>
              <w:top w:val="single" w:color="auto" w:sz="4" w:space="0"/>
              <w:left w:val="single" w:color="auto" w:sz="4" w:space="0"/>
              <w:bottom w:val="single" w:color="auto" w:sz="4" w:space="0"/>
              <w:right w:val="single" w:color="auto" w:sz="4" w:space="0"/>
            </w:tcBorders>
            <w:vAlign w:val="center"/>
          </w:tcPr>
          <w:p w14:paraId="1A2A207A">
            <w:pPr>
              <w:shd w:val="clear" w:color="auto" w:fill="FFFFFF"/>
              <w:autoSpaceDE w:val="0"/>
              <w:autoSpaceDN w:val="0"/>
              <w:spacing w:line="240" w:lineRule="auto"/>
              <w:rPr>
                <w:szCs w:val="21"/>
              </w:rPr>
            </w:pPr>
            <w:r>
              <w:rPr>
                <w:szCs w:val="21"/>
              </w:rPr>
              <w:t>仪器型号：</w:t>
            </w:r>
          </w:p>
        </w:tc>
        <w:tc>
          <w:tcPr>
            <w:tcW w:w="1667" w:type="pct"/>
            <w:gridSpan w:val="3"/>
            <w:tcBorders>
              <w:top w:val="single" w:color="auto" w:sz="4" w:space="0"/>
              <w:left w:val="single" w:color="auto" w:sz="4" w:space="0"/>
              <w:bottom w:val="single" w:color="auto" w:sz="4" w:space="0"/>
              <w:right w:val="single" w:color="auto" w:sz="4" w:space="0"/>
            </w:tcBorders>
            <w:vAlign w:val="center"/>
          </w:tcPr>
          <w:p w14:paraId="5D2CB27F">
            <w:pPr>
              <w:shd w:val="clear" w:color="auto" w:fill="FFFFFF"/>
              <w:autoSpaceDE w:val="0"/>
              <w:autoSpaceDN w:val="0"/>
              <w:spacing w:line="240" w:lineRule="auto"/>
              <w:rPr>
                <w:szCs w:val="21"/>
              </w:rPr>
            </w:pPr>
            <w:r>
              <w:rPr>
                <w:szCs w:val="21"/>
              </w:rPr>
              <w:t>仪器编号：</w:t>
            </w:r>
          </w:p>
        </w:tc>
      </w:tr>
      <w:tr w14:paraId="43C3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6" w:type="pct"/>
            <w:gridSpan w:val="3"/>
            <w:tcBorders>
              <w:top w:val="single" w:color="auto" w:sz="4" w:space="0"/>
              <w:left w:val="single" w:color="auto" w:sz="4" w:space="0"/>
              <w:bottom w:val="single" w:color="auto" w:sz="4" w:space="0"/>
              <w:right w:val="single" w:color="auto" w:sz="4" w:space="0"/>
            </w:tcBorders>
            <w:vAlign w:val="center"/>
          </w:tcPr>
          <w:p w14:paraId="2B6BD0EB">
            <w:pPr>
              <w:shd w:val="clear" w:color="auto" w:fill="FFFFFF"/>
              <w:autoSpaceDE w:val="0"/>
              <w:autoSpaceDN w:val="0"/>
              <w:spacing w:line="240" w:lineRule="auto"/>
              <w:rPr>
                <w:szCs w:val="21"/>
              </w:rPr>
            </w:pPr>
            <w:r>
              <w:rPr>
                <w:szCs w:val="21"/>
              </w:rPr>
              <w:t>环境温度:           ℃</w:t>
            </w:r>
          </w:p>
        </w:tc>
        <w:tc>
          <w:tcPr>
            <w:tcW w:w="1667" w:type="pct"/>
            <w:gridSpan w:val="3"/>
            <w:tcBorders>
              <w:top w:val="single" w:color="auto" w:sz="4" w:space="0"/>
              <w:left w:val="single" w:color="auto" w:sz="4" w:space="0"/>
              <w:bottom w:val="single" w:color="auto" w:sz="4" w:space="0"/>
              <w:right w:val="single" w:color="auto" w:sz="4" w:space="0"/>
            </w:tcBorders>
            <w:vAlign w:val="center"/>
          </w:tcPr>
          <w:p w14:paraId="623A9405">
            <w:pPr>
              <w:shd w:val="clear" w:color="auto" w:fill="FFFFFF"/>
              <w:autoSpaceDE w:val="0"/>
              <w:autoSpaceDN w:val="0"/>
              <w:spacing w:line="240" w:lineRule="auto"/>
              <w:rPr>
                <w:szCs w:val="21"/>
              </w:rPr>
            </w:pPr>
            <w:r>
              <w:rPr>
                <w:szCs w:val="21"/>
              </w:rPr>
              <w:t>环境湿度：</w:t>
            </w:r>
            <w:r>
              <w:rPr>
                <w:rFonts w:hint="eastAsia"/>
                <w:szCs w:val="21"/>
              </w:rPr>
              <w:t xml:space="preserve"> </w:t>
            </w:r>
            <w:r>
              <w:rPr>
                <w:szCs w:val="21"/>
              </w:rPr>
              <w:t xml:space="preserve">         ％RH</w:t>
            </w:r>
          </w:p>
        </w:tc>
        <w:tc>
          <w:tcPr>
            <w:tcW w:w="1667" w:type="pct"/>
            <w:gridSpan w:val="3"/>
            <w:tcBorders>
              <w:top w:val="single" w:color="auto" w:sz="4" w:space="0"/>
              <w:left w:val="single" w:color="auto" w:sz="4" w:space="0"/>
              <w:bottom w:val="single" w:color="auto" w:sz="4" w:space="0"/>
              <w:right w:val="single" w:color="auto" w:sz="4" w:space="0"/>
            </w:tcBorders>
            <w:vAlign w:val="center"/>
          </w:tcPr>
          <w:p w14:paraId="7C4D7D0C">
            <w:pPr>
              <w:shd w:val="clear" w:color="auto" w:fill="FFFFFF"/>
              <w:autoSpaceDE w:val="0"/>
              <w:autoSpaceDN w:val="0"/>
              <w:spacing w:line="240" w:lineRule="auto"/>
              <w:rPr>
                <w:szCs w:val="21"/>
              </w:rPr>
            </w:pPr>
            <w:r>
              <w:rPr>
                <w:szCs w:val="21"/>
              </w:rPr>
              <w:t>校准日期：</w:t>
            </w:r>
          </w:p>
        </w:tc>
      </w:tr>
      <w:tr w14:paraId="149E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666" w:type="pct"/>
            <w:gridSpan w:val="3"/>
            <w:tcBorders>
              <w:top w:val="single" w:color="auto" w:sz="4" w:space="0"/>
              <w:left w:val="single" w:color="auto" w:sz="4" w:space="0"/>
              <w:bottom w:val="single" w:color="auto" w:sz="4" w:space="0"/>
              <w:right w:val="single" w:color="auto" w:sz="4" w:space="0"/>
            </w:tcBorders>
            <w:vAlign w:val="center"/>
          </w:tcPr>
          <w:p w14:paraId="324F6E0B">
            <w:pPr>
              <w:shd w:val="clear" w:color="auto" w:fill="FFFFFF"/>
              <w:autoSpaceDE w:val="0"/>
              <w:autoSpaceDN w:val="0"/>
              <w:spacing w:line="240" w:lineRule="auto"/>
              <w:rPr>
                <w:szCs w:val="21"/>
              </w:rPr>
            </w:pPr>
            <w:r>
              <w:rPr>
                <w:szCs w:val="21"/>
              </w:rPr>
              <w:t>校准依据：</w:t>
            </w:r>
          </w:p>
        </w:tc>
        <w:tc>
          <w:tcPr>
            <w:tcW w:w="1667" w:type="pct"/>
            <w:gridSpan w:val="3"/>
            <w:tcBorders>
              <w:top w:val="single" w:color="auto" w:sz="4" w:space="0"/>
              <w:left w:val="single" w:color="auto" w:sz="4" w:space="0"/>
              <w:bottom w:val="single" w:color="auto" w:sz="4" w:space="0"/>
              <w:right w:val="single" w:color="auto" w:sz="4" w:space="0"/>
            </w:tcBorders>
            <w:vAlign w:val="center"/>
          </w:tcPr>
          <w:p w14:paraId="2C3D74B6">
            <w:pPr>
              <w:shd w:val="clear" w:color="auto" w:fill="FFFFFF"/>
              <w:autoSpaceDE w:val="0"/>
              <w:autoSpaceDN w:val="0"/>
              <w:spacing w:line="240" w:lineRule="auto"/>
              <w:rPr>
                <w:szCs w:val="21"/>
              </w:rPr>
            </w:pPr>
            <w:r>
              <w:rPr>
                <w:szCs w:val="21"/>
              </w:rPr>
              <w:t>校准员：</w:t>
            </w:r>
          </w:p>
        </w:tc>
        <w:tc>
          <w:tcPr>
            <w:tcW w:w="1667" w:type="pct"/>
            <w:gridSpan w:val="3"/>
            <w:tcBorders>
              <w:top w:val="single" w:color="auto" w:sz="4" w:space="0"/>
              <w:left w:val="single" w:color="auto" w:sz="4" w:space="0"/>
              <w:bottom w:val="single" w:color="auto" w:sz="4" w:space="0"/>
              <w:right w:val="single" w:color="auto" w:sz="4" w:space="0"/>
            </w:tcBorders>
            <w:vAlign w:val="center"/>
          </w:tcPr>
          <w:p w14:paraId="4CB3465A">
            <w:pPr>
              <w:shd w:val="clear" w:color="auto" w:fill="FFFFFF"/>
              <w:autoSpaceDE w:val="0"/>
              <w:autoSpaceDN w:val="0"/>
              <w:spacing w:line="240" w:lineRule="auto"/>
              <w:rPr>
                <w:szCs w:val="21"/>
              </w:rPr>
            </w:pPr>
            <w:r>
              <w:rPr>
                <w:szCs w:val="21"/>
              </w:rPr>
              <w:t>核验员：</w:t>
            </w:r>
          </w:p>
        </w:tc>
      </w:tr>
      <w:tr w14:paraId="4B3D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14:paraId="2D5905BD">
            <w:pPr>
              <w:shd w:val="clear" w:color="auto" w:fill="FFFFFF"/>
              <w:autoSpaceDE w:val="0"/>
              <w:autoSpaceDN w:val="0"/>
              <w:spacing w:line="240" w:lineRule="auto"/>
              <w:rPr>
                <w:szCs w:val="21"/>
              </w:rPr>
            </w:pPr>
            <w:r>
              <w:rPr>
                <w:szCs w:val="21"/>
              </w:rPr>
              <w:t>校准</w:t>
            </w:r>
            <w:r>
              <w:rPr>
                <w:rFonts w:hint="eastAsia"/>
                <w:szCs w:val="21"/>
              </w:rPr>
              <w:t>所用的主要计量标准器</w:t>
            </w:r>
            <w:r>
              <w:rPr>
                <w:szCs w:val="21"/>
              </w:rPr>
              <w:t>：</w:t>
            </w:r>
          </w:p>
        </w:tc>
      </w:tr>
      <w:tr w14:paraId="6C06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23" w:type="pct"/>
            <w:tcBorders>
              <w:top w:val="single" w:color="auto" w:sz="4" w:space="0"/>
              <w:left w:val="single" w:color="auto" w:sz="4" w:space="0"/>
              <w:bottom w:val="single" w:color="auto" w:sz="4" w:space="0"/>
              <w:right w:val="single" w:color="auto" w:sz="4" w:space="0"/>
            </w:tcBorders>
            <w:vAlign w:val="center"/>
          </w:tcPr>
          <w:p w14:paraId="24414887">
            <w:pPr>
              <w:shd w:val="clear" w:color="auto" w:fill="FFFFFF"/>
              <w:autoSpaceDE w:val="0"/>
              <w:autoSpaceDN w:val="0"/>
              <w:spacing w:line="240" w:lineRule="auto"/>
              <w:jc w:val="center"/>
              <w:rPr>
                <w:szCs w:val="21"/>
              </w:rPr>
            </w:pPr>
            <w:r>
              <w:rPr>
                <w:szCs w:val="21"/>
              </w:rPr>
              <w:t>名称</w:t>
            </w:r>
          </w:p>
        </w:tc>
        <w:tc>
          <w:tcPr>
            <w:tcW w:w="664" w:type="pct"/>
            <w:tcBorders>
              <w:top w:val="single" w:color="auto" w:sz="4" w:space="0"/>
              <w:left w:val="single" w:color="auto" w:sz="4" w:space="0"/>
              <w:bottom w:val="single" w:color="auto" w:sz="4" w:space="0"/>
              <w:right w:val="single" w:color="auto" w:sz="4" w:space="0"/>
            </w:tcBorders>
            <w:vAlign w:val="center"/>
          </w:tcPr>
          <w:p w14:paraId="4CF2CB3A">
            <w:pPr>
              <w:shd w:val="clear" w:color="auto" w:fill="FFFFFF"/>
              <w:autoSpaceDE w:val="0"/>
              <w:autoSpaceDN w:val="0"/>
              <w:spacing w:line="240" w:lineRule="auto"/>
              <w:jc w:val="center"/>
              <w:rPr>
                <w:szCs w:val="21"/>
              </w:rPr>
            </w:pPr>
            <w:r>
              <w:rPr>
                <w:szCs w:val="21"/>
              </w:rPr>
              <w:t>型号规格</w:t>
            </w:r>
          </w:p>
        </w:tc>
        <w:tc>
          <w:tcPr>
            <w:tcW w:w="666" w:type="pct"/>
            <w:gridSpan w:val="2"/>
            <w:tcBorders>
              <w:top w:val="single" w:color="auto" w:sz="4" w:space="0"/>
              <w:left w:val="single" w:color="auto" w:sz="4" w:space="0"/>
              <w:bottom w:val="single" w:color="auto" w:sz="4" w:space="0"/>
              <w:right w:val="single" w:color="auto" w:sz="4" w:space="0"/>
            </w:tcBorders>
            <w:vAlign w:val="center"/>
          </w:tcPr>
          <w:p w14:paraId="778827D3">
            <w:pPr>
              <w:shd w:val="clear" w:color="auto" w:fill="FFFFFF"/>
              <w:autoSpaceDE w:val="0"/>
              <w:autoSpaceDN w:val="0"/>
              <w:spacing w:line="240" w:lineRule="auto"/>
              <w:jc w:val="center"/>
              <w:rPr>
                <w:szCs w:val="21"/>
              </w:rPr>
            </w:pPr>
            <w:r>
              <w:rPr>
                <w:rFonts w:hint="eastAsia"/>
                <w:szCs w:val="21"/>
              </w:rPr>
              <w:t>测量范围</w:t>
            </w:r>
          </w:p>
        </w:tc>
        <w:tc>
          <w:tcPr>
            <w:tcW w:w="1408" w:type="pct"/>
            <w:gridSpan w:val="3"/>
            <w:tcBorders>
              <w:top w:val="single" w:color="auto" w:sz="4" w:space="0"/>
              <w:left w:val="single" w:color="auto" w:sz="4" w:space="0"/>
              <w:bottom w:val="single" w:color="auto" w:sz="4" w:space="0"/>
              <w:right w:val="single" w:color="auto" w:sz="4" w:space="0"/>
            </w:tcBorders>
            <w:vAlign w:val="center"/>
          </w:tcPr>
          <w:p w14:paraId="3D6CC01D">
            <w:pPr>
              <w:shd w:val="clear" w:color="auto" w:fill="FFFFFF"/>
              <w:autoSpaceDE w:val="0"/>
              <w:autoSpaceDN w:val="0"/>
              <w:spacing w:line="240" w:lineRule="auto"/>
              <w:jc w:val="center"/>
              <w:rPr>
                <w:szCs w:val="21"/>
              </w:rPr>
            </w:pPr>
            <w:r>
              <w:rPr>
                <w:szCs w:val="21"/>
              </w:rPr>
              <w:t>不确定度/最大允许误差</w:t>
            </w:r>
            <w:r>
              <w:rPr>
                <w:rFonts w:hint="eastAsia"/>
                <w:szCs w:val="21"/>
              </w:rPr>
              <w:t>/准确度等级</w:t>
            </w:r>
          </w:p>
        </w:tc>
        <w:tc>
          <w:tcPr>
            <w:tcW w:w="783" w:type="pct"/>
            <w:tcBorders>
              <w:top w:val="single" w:color="auto" w:sz="4" w:space="0"/>
              <w:left w:val="single" w:color="auto" w:sz="4" w:space="0"/>
              <w:bottom w:val="single" w:color="auto" w:sz="4" w:space="0"/>
              <w:right w:val="single" w:color="auto" w:sz="4" w:space="0"/>
            </w:tcBorders>
            <w:vAlign w:val="center"/>
          </w:tcPr>
          <w:p w14:paraId="1012F91F">
            <w:pPr>
              <w:shd w:val="clear" w:color="auto" w:fill="FFFFFF"/>
              <w:autoSpaceDE w:val="0"/>
              <w:autoSpaceDN w:val="0"/>
              <w:spacing w:line="240" w:lineRule="auto"/>
              <w:jc w:val="center"/>
              <w:rPr>
                <w:szCs w:val="21"/>
              </w:rPr>
            </w:pPr>
            <w:r>
              <w:rPr>
                <w:rFonts w:hint="eastAsia"/>
                <w:szCs w:val="21"/>
              </w:rPr>
              <w:t>溯源单位</w:t>
            </w:r>
          </w:p>
        </w:tc>
        <w:tc>
          <w:tcPr>
            <w:tcW w:w="857" w:type="pct"/>
            <w:tcBorders>
              <w:top w:val="single" w:color="auto" w:sz="4" w:space="0"/>
              <w:left w:val="single" w:color="auto" w:sz="4" w:space="0"/>
              <w:bottom w:val="single" w:color="auto" w:sz="4" w:space="0"/>
              <w:right w:val="single" w:color="auto" w:sz="4" w:space="0"/>
            </w:tcBorders>
            <w:vAlign w:val="center"/>
          </w:tcPr>
          <w:p w14:paraId="42EBD2E8">
            <w:pPr>
              <w:shd w:val="clear" w:color="auto" w:fill="FFFFFF"/>
              <w:autoSpaceDE w:val="0"/>
              <w:autoSpaceDN w:val="0"/>
              <w:spacing w:line="240" w:lineRule="auto"/>
              <w:rPr>
                <w:szCs w:val="21"/>
              </w:rPr>
            </w:pPr>
            <w:r>
              <w:rPr>
                <w:szCs w:val="21"/>
              </w:rPr>
              <w:t>证书号</w:t>
            </w:r>
            <w:r>
              <w:rPr>
                <w:rFonts w:hint="eastAsia"/>
                <w:szCs w:val="21"/>
              </w:rPr>
              <w:t>/</w:t>
            </w:r>
            <w:r>
              <w:rPr>
                <w:szCs w:val="21"/>
              </w:rPr>
              <w:t>有效期</w:t>
            </w:r>
          </w:p>
        </w:tc>
      </w:tr>
      <w:tr w14:paraId="07C0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23" w:type="pct"/>
            <w:tcBorders>
              <w:top w:val="single" w:color="auto" w:sz="4" w:space="0"/>
              <w:left w:val="single" w:color="auto" w:sz="4" w:space="0"/>
              <w:bottom w:val="single" w:color="auto" w:sz="4" w:space="0"/>
              <w:right w:val="single" w:color="auto" w:sz="4" w:space="0"/>
            </w:tcBorders>
            <w:vAlign w:val="center"/>
          </w:tcPr>
          <w:p w14:paraId="61DB29B9">
            <w:pPr>
              <w:shd w:val="clear" w:color="auto" w:fill="FFFFFF"/>
              <w:autoSpaceDE w:val="0"/>
              <w:autoSpaceDN w:val="0"/>
              <w:spacing w:line="240" w:lineRule="auto"/>
              <w:rPr>
                <w:szCs w:val="21"/>
              </w:rPr>
            </w:pPr>
          </w:p>
        </w:tc>
        <w:tc>
          <w:tcPr>
            <w:tcW w:w="664" w:type="pct"/>
            <w:tcBorders>
              <w:top w:val="single" w:color="auto" w:sz="4" w:space="0"/>
              <w:left w:val="single" w:color="auto" w:sz="4" w:space="0"/>
              <w:bottom w:val="single" w:color="auto" w:sz="4" w:space="0"/>
              <w:right w:val="single" w:color="auto" w:sz="4" w:space="0"/>
            </w:tcBorders>
            <w:vAlign w:val="center"/>
          </w:tcPr>
          <w:p w14:paraId="33C9017B">
            <w:pPr>
              <w:shd w:val="clear" w:color="auto" w:fill="FFFFFF"/>
              <w:autoSpaceDE w:val="0"/>
              <w:autoSpaceDN w:val="0"/>
              <w:spacing w:line="240" w:lineRule="auto"/>
              <w:rPr>
                <w:szCs w:val="21"/>
              </w:rPr>
            </w:pPr>
          </w:p>
        </w:tc>
        <w:tc>
          <w:tcPr>
            <w:tcW w:w="666" w:type="pct"/>
            <w:gridSpan w:val="2"/>
            <w:tcBorders>
              <w:top w:val="single" w:color="auto" w:sz="4" w:space="0"/>
              <w:left w:val="single" w:color="auto" w:sz="4" w:space="0"/>
              <w:bottom w:val="single" w:color="auto" w:sz="4" w:space="0"/>
              <w:right w:val="single" w:color="auto" w:sz="4" w:space="0"/>
            </w:tcBorders>
            <w:vAlign w:val="center"/>
          </w:tcPr>
          <w:p w14:paraId="2FDC866F">
            <w:pPr>
              <w:shd w:val="clear" w:color="auto" w:fill="FFFFFF"/>
              <w:autoSpaceDE w:val="0"/>
              <w:autoSpaceDN w:val="0"/>
              <w:spacing w:line="240" w:lineRule="auto"/>
              <w:rPr>
                <w:szCs w:val="21"/>
              </w:rPr>
            </w:pPr>
          </w:p>
        </w:tc>
        <w:tc>
          <w:tcPr>
            <w:tcW w:w="1408" w:type="pct"/>
            <w:gridSpan w:val="3"/>
            <w:tcBorders>
              <w:top w:val="single" w:color="auto" w:sz="4" w:space="0"/>
              <w:left w:val="single" w:color="auto" w:sz="4" w:space="0"/>
              <w:bottom w:val="single" w:color="auto" w:sz="4" w:space="0"/>
              <w:right w:val="single" w:color="auto" w:sz="4" w:space="0"/>
            </w:tcBorders>
            <w:vAlign w:val="center"/>
          </w:tcPr>
          <w:p w14:paraId="3A1E1D34">
            <w:pPr>
              <w:shd w:val="clear" w:color="auto" w:fill="FFFFFF"/>
              <w:autoSpaceDE w:val="0"/>
              <w:autoSpaceDN w:val="0"/>
              <w:spacing w:line="240" w:lineRule="auto"/>
              <w:rPr>
                <w:szCs w:val="21"/>
              </w:rPr>
            </w:pPr>
          </w:p>
        </w:tc>
        <w:tc>
          <w:tcPr>
            <w:tcW w:w="783" w:type="pct"/>
            <w:tcBorders>
              <w:top w:val="single" w:color="auto" w:sz="4" w:space="0"/>
              <w:left w:val="single" w:color="auto" w:sz="4" w:space="0"/>
              <w:bottom w:val="single" w:color="auto" w:sz="4" w:space="0"/>
              <w:right w:val="single" w:color="auto" w:sz="4" w:space="0"/>
            </w:tcBorders>
            <w:vAlign w:val="center"/>
          </w:tcPr>
          <w:p w14:paraId="3053154E">
            <w:pPr>
              <w:shd w:val="clear" w:color="auto" w:fill="FFFFFF"/>
              <w:autoSpaceDE w:val="0"/>
              <w:autoSpaceDN w:val="0"/>
              <w:spacing w:line="240" w:lineRule="auto"/>
              <w:rPr>
                <w:szCs w:val="21"/>
              </w:rPr>
            </w:pPr>
          </w:p>
        </w:tc>
        <w:tc>
          <w:tcPr>
            <w:tcW w:w="857" w:type="pct"/>
            <w:tcBorders>
              <w:top w:val="single" w:color="auto" w:sz="4" w:space="0"/>
              <w:left w:val="single" w:color="auto" w:sz="4" w:space="0"/>
              <w:bottom w:val="single" w:color="auto" w:sz="4" w:space="0"/>
              <w:right w:val="single" w:color="auto" w:sz="4" w:space="0"/>
            </w:tcBorders>
            <w:vAlign w:val="center"/>
          </w:tcPr>
          <w:p w14:paraId="7E651AC3">
            <w:pPr>
              <w:shd w:val="clear" w:color="auto" w:fill="FFFFFF"/>
              <w:autoSpaceDE w:val="0"/>
              <w:autoSpaceDN w:val="0"/>
              <w:spacing w:line="240" w:lineRule="auto"/>
              <w:rPr>
                <w:szCs w:val="21"/>
              </w:rPr>
            </w:pPr>
          </w:p>
        </w:tc>
      </w:tr>
    </w:tbl>
    <w:p w14:paraId="33282458">
      <w:pPr>
        <w:pStyle w:val="20"/>
        <w:spacing w:after="0" w:line="240" w:lineRule="auto"/>
        <w:rPr>
          <w:rFonts w:eastAsiaTheme="minorEastAsia"/>
          <w:sz w:val="24"/>
          <w:szCs w:val="24"/>
        </w:rPr>
      </w:pPr>
    </w:p>
    <w:p w14:paraId="75EA900C">
      <w:pPr>
        <w:pStyle w:val="20"/>
        <w:spacing w:after="0" w:line="240" w:lineRule="auto"/>
        <w:rPr>
          <w:rFonts w:eastAsiaTheme="minorEastAsia"/>
          <w:sz w:val="24"/>
          <w:szCs w:val="24"/>
        </w:rPr>
      </w:pPr>
      <w:r>
        <w:rPr>
          <w:rFonts w:eastAsiaTheme="minorEastAsia"/>
          <w:sz w:val="24"/>
          <w:szCs w:val="24"/>
        </w:rPr>
        <w:t>A.</w:t>
      </w:r>
      <w:r>
        <w:rPr>
          <w:rFonts w:hint="eastAsia" w:eastAsiaTheme="minorEastAsia"/>
          <w:sz w:val="24"/>
          <w:szCs w:val="24"/>
        </w:rPr>
        <w:t>1</w:t>
      </w:r>
      <w:r>
        <w:rPr>
          <w:rFonts w:eastAsiaTheme="minorEastAsia"/>
          <w:sz w:val="24"/>
          <w:szCs w:val="24"/>
        </w:rPr>
        <w:t xml:space="preserve"> </w:t>
      </w:r>
      <w:r>
        <w:rPr>
          <w:rFonts w:hint="eastAsia"/>
          <w:sz w:val="24"/>
        </w:rPr>
        <w:t>循环</w:t>
      </w:r>
      <w:r>
        <w:rPr>
          <w:rFonts w:hint="eastAsia" w:eastAsiaTheme="minorEastAsia"/>
          <w:sz w:val="24"/>
          <w:szCs w:val="24"/>
        </w:rPr>
        <w:t>水浴温度示值误差</w:t>
      </w:r>
    </w:p>
    <w:tbl>
      <w:tblPr>
        <w:tblStyle w:val="34"/>
        <w:tblpPr w:leftFromText="180" w:rightFromText="180" w:vertAnchor="text" w:horzAnchor="page" w:tblpX="1404" w:tblpY="9"/>
        <w:tblOverlap w:val="never"/>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4"/>
        <w:gridCol w:w="872"/>
        <w:gridCol w:w="871"/>
        <w:gridCol w:w="871"/>
        <w:gridCol w:w="1792"/>
        <w:gridCol w:w="1792"/>
        <w:gridCol w:w="1792"/>
      </w:tblGrid>
      <w:tr w14:paraId="1BE65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701" w:type="pct"/>
            <w:vMerge w:val="restart"/>
            <w:tcBorders>
              <w:right w:val="single" w:color="auto" w:sz="4" w:space="0"/>
            </w:tcBorders>
            <w:vAlign w:val="center"/>
          </w:tcPr>
          <w:p w14:paraId="3D0A452F">
            <w:pPr>
              <w:pStyle w:val="20"/>
              <w:snapToGrid w:val="0"/>
              <w:spacing w:after="0" w:line="240" w:lineRule="auto"/>
              <w:jc w:val="center"/>
              <w:rPr>
                <w:szCs w:val="21"/>
              </w:rPr>
            </w:pPr>
            <w:bookmarkStart w:id="182" w:name="OLE_LINK19"/>
            <w:r>
              <w:rPr>
                <w:rFonts w:hint="eastAsia"/>
                <w:szCs w:val="21"/>
              </w:rPr>
              <w:t>设定值/℃</w:t>
            </w:r>
          </w:p>
        </w:tc>
        <w:tc>
          <w:tcPr>
            <w:tcW w:w="1407" w:type="pct"/>
            <w:gridSpan w:val="3"/>
            <w:tcBorders>
              <w:left w:val="single" w:color="auto" w:sz="4" w:space="0"/>
              <w:bottom w:val="single" w:color="auto" w:sz="4" w:space="0"/>
              <w:right w:val="single" w:color="auto" w:sz="4" w:space="0"/>
            </w:tcBorders>
            <w:vAlign w:val="center"/>
          </w:tcPr>
          <w:p w14:paraId="615A0E27">
            <w:pPr>
              <w:pStyle w:val="20"/>
              <w:snapToGrid w:val="0"/>
              <w:spacing w:after="0" w:line="240" w:lineRule="auto"/>
              <w:jc w:val="center"/>
              <w:rPr>
                <w:szCs w:val="21"/>
              </w:rPr>
            </w:pPr>
            <w:r>
              <w:rPr>
                <w:rFonts w:hint="eastAsia"/>
                <w:szCs w:val="21"/>
              </w:rPr>
              <w:t>测量值/℃</w:t>
            </w:r>
          </w:p>
        </w:tc>
        <w:tc>
          <w:tcPr>
            <w:tcW w:w="964" w:type="pct"/>
            <w:vMerge w:val="restart"/>
            <w:tcBorders>
              <w:left w:val="single" w:color="auto" w:sz="4" w:space="0"/>
            </w:tcBorders>
            <w:vAlign w:val="center"/>
          </w:tcPr>
          <w:p w14:paraId="56DDE275">
            <w:pPr>
              <w:pStyle w:val="20"/>
              <w:snapToGrid w:val="0"/>
              <w:spacing w:after="0" w:line="240" w:lineRule="auto"/>
              <w:jc w:val="center"/>
              <w:rPr>
                <w:szCs w:val="21"/>
              </w:rPr>
            </w:pPr>
            <w:r>
              <w:rPr>
                <w:szCs w:val="21"/>
              </w:rPr>
              <w:t>测量平均值</w:t>
            </w:r>
            <w:r>
              <w:rPr>
                <w:rFonts w:hint="eastAsia"/>
                <w:szCs w:val="21"/>
              </w:rPr>
              <w:t>/℃</w:t>
            </w:r>
          </w:p>
        </w:tc>
        <w:tc>
          <w:tcPr>
            <w:tcW w:w="964" w:type="pct"/>
            <w:vMerge w:val="restart"/>
            <w:tcBorders>
              <w:right w:val="single" w:color="auto" w:sz="4" w:space="0"/>
            </w:tcBorders>
            <w:vAlign w:val="center"/>
          </w:tcPr>
          <w:p w14:paraId="194578C0">
            <w:pPr>
              <w:pStyle w:val="20"/>
              <w:snapToGrid w:val="0"/>
              <w:spacing w:after="0" w:line="240" w:lineRule="auto"/>
              <w:jc w:val="center"/>
              <w:rPr>
                <w:szCs w:val="21"/>
              </w:rPr>
            </w:pPr>
            <w:r>
              <w:rPr>
                <w:szCs w:val="21"/>
              </w:rPr>
              <w:t>示值误差</w:t>
            </w:r>
            <w:r>
              <w:rPr>
                <w:rFonts w:hint="eastAsia"/>
                <w:szCs w:val="21"/>
              </w:rPr>
              <w:t>/℃</w:t>
            </w:r>
          </w:p>
        </w:tc>
        <w:tc>
          <w:tcPr>
            <w:tcW w:w="964" w:type="pct"/>
            <w:vMerge w:val="restart"/>
            <w:tcBorders>
              <w:right w:val="single" w:color="auto" w:sz="4" w:space="0"/>
            </w:tcBorders>
            <w:vAlign w:val="center"/>
          </w:tcPr>
          <w:p w14:paraId="193613DA">
            <w:pPr>
              <w:pStyle w:val="20"/>
              <w:snapToGrid w:val="0"/>
              <w:spacing w:after="0" w:line="240" w:lineRule="auto"/>
              <w:jc w:val="center"/>
              <w:rPr>
                <w:szCs w:val="21"/>
              </w:rPr>
            </w:pPr>
            <w:r>
              <w:rPr>
                <w:szCs w:val="21"/>
              </w:rPr>
              <w:t>扩展不确定度</w:t>
            </w:r>
          </w:p>
          <w:p w14:paraId="4AA44B37">
            <w:pPr>
              <w:pStyle w:val="20"/>
              <w:snapToGrid w:val="0"/>
              <w:spacing w:after="0" w:line="240" w:lineRule="auto"/>
              <w:jc w:val="center"/>
              <w:rPr>
                <w:szCs w:val="21"/>
              </w:rPr>
            </w:pPr>
            <w:r>
              <w:rPr>
                <w:i/>
                <w:iCs/>
                <w:szCs w:val="21"/>
              </w:rPr>
              <w:t>U</w:t>
            </w:r>
            <w:r>
              <w:rPr>
                <w:rFonts w:hint="eastAsia"/>
                <w:szCs w:val="21"/>
              </w:rPr>
              <w:t>/℃</w:t>
            </w:r>
            <w:r>
              <w:rPr>
                <w:szCs w:val="21"/>
              </w:rPr>
              <w:t>（</w:t>
            </w:r>
            <w:r>
              <w:rPr>
                <w:i/>
                <w:iCs/>
                <w:szCs w:val="21"/>
              </w:rPr>
              <w:t>k</w:t>
            </w:r>
            <w:r>
              <w:rPr>
                <w:szCs w:val="21"/>
              </w:rPr>
              <w:t>=2）</w:t>
            </w:r>
          </w:p>
        </w:tc>
      </w:tr>
      <w:tr w14:paraId="236C1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701" w:type="pct"/>
            <w:vMerge w:val="continue"/>
            <w:tcBorders>
              <w:bottom w:val="single" w:color="auto" w:sz="4" w:space="0"/>
              <w:right w:val="single" w:color="auto" w:sz="4" w:space="0"/>
            </w:tcBorders>
          </w:tcPr>
          <w:p w14:paraId="6FEDD8D4">
            <w:pPr>
              <w:pStyle w:val="20"/>
              <w:snapToGrid w:val="0"/>
              <w:spacing w:after="0" w:line="240" w:lineRule="auto"/>
              <w:jc w:val="center"/>
              <w:rPr>
                <w:szCs w:val="21"/>
              </w:rPr>
            </w:pPr>
          </w:p>
        </w:tc>
        <w:tc>
          <w:tcPr>
            <w:tcW w:w="469" w:type="pct"/>
            <w:tcBorders>
              <w:top w:val="single" w:color="auto" w:sz="4" w:space="0"/>
              <w:left w:val="single" w:color="auto" w:sz="4" w:space="0"/>
            </w:tcBorders>
            <w:vAlign w:val="center"/>
          </w:tcPr>
          <w:p w14:paraId="12A426F8">
            <w:pPr>
              <w:pStyle w:val="20"/>
              <w:snapToGrid w:val="0"/>
              <w:spacing w:after="0" w:line="240" w:lineRule="auto"/>
              <w:jc w:val="center"/>
              <w:rPr>
                <w:szCs w:val="21"/>
              </w:rPr>
            </w:pPr>
            <w:r>
              <w:rPr>
                <w:szCs w:val="21"/>
              </w:rPr>
              <w:t>1</w:t>
            </w:r>
          </w:p>
        </w:tc>
        <w:tc>
          <w:tcPr>
            <w:tcW w:w="469" w:type="pct"/>
            <w:tcBorders>
              <w:top w:val="single" w:color="auto" w:sz="4" w:space="0"/>
              <w:right w:val="single" w:color="auto" w:sz="4" w:space="0"/>
            </w:tcBorders>
            <w:vAlign w:val="center"/>
          </w:tcPr>
          <w:p w14:paraId="3E77A593">
            <w:pPr>
              <w:pStyle w:val="20"/>
              <w:snapToGrid w:val="0"/>
              <w:spacing w:after="0" w:line="240" w:lineRule="auto"/>
              <w:jc w:val="center"/>
              <w:rPr>
                <w:szCs w:val="21"/>
              </w:rPr>
            </w:pPr>
            <w:r>
              <w:rPr>
                <w:szCs w:val="21"/>
              </w:rPr>
              <w:t>2</w:t>
            </w:r>
          </w:p>
        </w:tc>
        <w:tc>
          <w:tcPr>
            <w:tcW w:w="469" w:type="pct"/>
            <w:tcBorders>
              <w:left w:val="single" w:color="auto" w:sz="4" w:space="0"/>
              <w:right w:val="single" w:color="auto" w:sz="4" w:space="0"/>
            </w:tcBorders>
            <w:vAlign w:val="center"/>
          </w:tcPr>
          <w:p w14:paraId="0F17DC0F">
            <w:pPr>
              <w:pStyle w:val="20"/>
              <w:snapToGrid w:val="0"/>
              <w:spacing w:after="0" w:line="240" w:lineRule="auto"/>
              <w:jc w:val="center"/>
              <w:rPr>
                <w:szCs w:val="21"/>
              </w:rPr>
            </w:pPr>
            <w:r>
              <w:rPr>
                <w:szCs w:val="21"/>
              </w:rPr>
              <w:t>3</w:t>
            </w:r>
          </w:p>
        </w:tc>
        <w:tc>
          <w:tcPr>
            <w:tcW w:w="964" w:type="pct"/>
            <w:vMerge w:val="continue"/>
            <w:tcBorders>
              <w:left w:val="single" w:color="auto" w:sz="4" w:space="0"/>
            </w:tcBorders>
            <w:vAlign w:val="center"/>
          </w:tcPr>
          <w:p w14:paraId="2161F541">
            <w:pPr>
              <w:pStyle w:val="20"/>
              <w:snapToGrid w:val="0"/>
              <w:spacing w:after="0" w:line="240" w:lineRule="auto"/>
              <w:jc w:val="center"/>
              <w:rPr>
                <w:szCs w:val="21"/>
              </w:rPr>
            </w:pPr>
          </w:p>
        </w:tc>
        <w:tc>
          <w:tcPr>
            <w:tcW w:w="964" w:type="pct"/>
            <w:vMerge w:val="continue"/>
            <w:tcBorders>
              <w:right w:val="single" w:color="auto" w:sz="4" w:space="0"/>
            </w:tcBorders>
            <w:vAlign w:val="center"/>
          </w:tcPr>
          <w:p w14:paraId="460A953B">
            <w:pPr>
              <w:pStyle w:val="20"/>
              <w:snapToGrid w:val="0"/>
              <w:spacing w:after="0" w:line="240" w:lineRule="auto"/>
              <w:jc w:val="center"/>
              <w:rPr>
                <w:szCs w:val="21"/>
              </w:rPr>
            </w:pPr>
          </w:p>
        </w:tc>
        <w:tc>
          <w:tcPr>
            <w:tcW w:w="964" w:type="pct"/>
            <w:vMerge w:val="continue"/>
            <w:tcBorders>
              <w:right w:val="single" w:color="auto" w:sz="4" w:space="0"/>
            </w:tcBorders>
            <w:vAlign w:val="center"/>
          </w:tcPr>
          <w:p w14:paraId="1F0BD160">
            <w:pPr>
              <w:pStyle w:val="20"/>
              <w:snapToGrid w:val="0"/>
              <w:spacing w:after="0" w:line="240" w:lineRule="auto"/>
              <w:jc w:val="center"/>
              <w:rPr>
                <w:szCs w:val="21"/>
              </w:rPr>
            </w:pPr>
          </w:p>
        </w:tc>
      </w:tr>
      <w:tr w14:paraId="00F1F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01" w:type="pct"/>
            <w:tcBorders>
              <w:right w:val="single" w:color="auto" w:sz="4" w:space="0"/>
            </w:tcBorders>
            <w:vAlign w:val="center"/>
          </w:tcPr>
          <w:p w14:paraId="05475D27">
            <w:pPr>
              <w:pStyle w:val="20"/>
              <w:snapToGrid w:val="0"/>
              <w:spacing w:after="0" w:line="240" w:lineRule="auto"/>
              <w:jc w:val="center"/>
              <w:rPr>
                <w:szCs w:val="21"/>
              </w:rPr>
            </w:pPr>
          </w:p>
        </w:tc>
        <w:tc>
          <w:tcPr>
            <w:tcW w:w="469" w:type="pct"/>
            <w:tcBorders>
              <w:top w:val="single" w:color="auto" w:sz="4" w:space="0"/>
              <w:left w:val="single" w:color="auto" w:sz="4" w:space="0"/>
            </w:tcBorders>
            <w:vAlign w:val="center"/>
          </w:tcPr>
          <w:p w14:paraId="1DCD4489">
            <w:pPr>
              <w:pStyle w:val="20"/>
              <w:snapToGrid w:val="0"/>
              <w:spacing w:after="0" w:line="240" w:lineRule="auto"/>
              <w:jc w:val="center"/>
              <w:rPr>
                <w:szCs w:val="21"/>
              </w:rPr>
            </w:pPr>
          </w:p>
        </w:tc>
        <w:tc>
          <w:tcPr>
            <w:tcW w:w="469" w:type="pct"/>
            <w:tcBorders>
              <w:top w:val="single" w:color="auto" w:sz="4" w:space="0"/>
              <w:right w:val="single" w:color="auto" w:sz="4" w:space="0"/>
            </w:tcBorders>
            <w:vAlign w:val="center"/>
          </w:tcPr>
          <w:p w14:paraId="66CB0B6B">
            <w:pPr>
              <w:pStyle w:val="20"/>
              <w:snapToGrid w:val="0"/>
              <w:spacing w:after="0" w:line="240" w:lineRule="auto"/>
              <w:jc w:val="center"/>
              <w:rPr>
                <w:szCs w:val="21"/>
              </w:rPr>
            </w:pPr>
          </w:p>
        </w:tc>
        <w:tc>
          <w:tcPr>
            <w:tcW w:w="469" w:type="pct"/>
            <w:tcBorders>
              <w:left w:val="single" w:color="auto" w:sz="4" w:space="0"/>
            </w:tcBorders>
            <w:vAlign w:val="center"/>
          </w:tcPr>
          <w:p w14:paraId="1681E4EF">
            <w:pPr>
              <w:pStyle w:val="20"/>
              <w:snapToGrid w:val="0"/>
              <w:spacing w:after="0" w:line="240" w:lineRule="auto"/>
              <w:jc w:val="center"/>
              <w:rPr>
                <w:szCs w:val="21"/>
              </w:rPr>
            </w:pPr>
          </w:p>
        </w:tc>
        <w:tc>
          <w:tcPr>
            <w:tcW w:w="964" w:type="pct"/>
            <w:tcBorders>
              <w:top w:val="single" w:color="auto" w:sz="4" w:space="0"/>
            </w:tcBorders>
            <w:vAlign w:val="center"/>
          </w:tcPr>
          <w:p w14:paraId="10386F3B">
            <w:pPr>
              <w:pStyle w:val="20"/>
              <w:snapToGrid w:val="0"/>
              <w:spacing w:after="0" w:line="240" w:lineRule="auto"/>
              <w:jc w:val="center"/>
              <w:rPr>
                <w:szCs w:val="21"/>
              </w:rPr>
            </w:pPr>
          </w:p>
        </w:tc>
        <w:tc>
          <w:tcPr>
            <w:tcW w:w="964" w:type="pct"/>
            <w:tcBorders>
              <w:right w:val="single" w:color="auto" w:sz="4" w:space="0"/>
            </w:tcBorders>
            <w:vAlign w:val="center"/>
          </w:tcPr>
          <w:p w14:paraId="600FEC12">
            <w:pPr>
              <w:pStyle w:val="20"/>
              <w:snapToGrid w:val="0"/>
              <w:spacing w:after="0" w:line="240" w:lineRule="auto"/>
              <w:jc w:val="center"/>
              <w:rPr>
                <w:szCs w:val="21"/>
              </w:rPr>
            </w:pPr>
          </w:p>
        </w:tc>
        <w:tc>
          <w:tcPr>
            <w:tcW w:w="964" w:type="pct"/>
            <w:tcBorders>
              <w:right w:val="single" w:color="auto" w:sz="4" w:space="0"/>
            </w:tcBorders>
            <w:vAlign w:val="center"/>
          </w:tcPr>
          <w:p w14:paraId="5DE04CDF">
            <w:pPr>
              <w:pStyle w:val="20"/>
              <w:snapToGrid w:val="0"/>
              <w:spacing w:after="0" w:line="240" w:lineRule="auto"/>
              <w:jc w:val="center"/>
              <w:rPr>
                <w:szCs w:val="21"/>
              </w:rPr>
            </w:pPr>
          </w:p>
        </w:tc>
      </w:tr>
      <w:tr w14:paraId="5A28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01" w:type="pct"/>
            <w:tcBorders>
              <w:right w:val="single" w:color="auto" w:sz="4" w:space="0"/>
            </w:tcBorders>
            <w:vAlign w:val="center"/>
          </w:tcPr>
          <w:p w14:paraId="5E3CCF79">
            <w:pPr>
              <w:pStyle w:val="20"/>
              <w:snapToGrid w:val="0"/>
              <w:spacing w:after="0" w:line="240" w:lineRule="auto"/>
              <w:jc w:val="center"/>
              <w:rPr>
                <w:szCs w:val="21"/>
              </w:rPr>
            </w:pPr>
          </w:p>
        </w:tc>
        <w:tc>
          <w:tcPr>
            <w:tcW w:w="469" w:type="pct"/>
            <w:tcBorders>
              <w:top w:val="single" w:color="auto" w:sz="4" w:space="0"/>
              <w:left w:val="single" w:color="auto" w:sz="4" w:space="0"/>
            </w:tcBorders>
            <w:vAlign w:val="center"/>
          </w:tcPr>
          <w:p w14:paraId="5DF039A9">
            <w:pPr>
              <w:pStyle w:val="20"/>
              <w:snapToGrid w:val="0"/>
              <w:spacing w:after="0" w:line="240" w:lineRule="auto"/>
              <w:jc w:val="center"/>
              <w:rPr>
                <w:szCs w:val="21"/>
              </w:rPr>
            </w:pPr>
          </w:p>
        </w:tc>
        <w:tc>
          <w:tcPr>
            <w:tcW w:w="469" w:type="pct"/>
            <w:tcBorders>
              <w:top w:val="single" w:color="auto" w:sz="4" w:space="0"/>
              <w:right w:val="single" w:color="auto" w:sz="4" w:space="0"/>
            </w:tcBorders>
            <w:vAlign w:val="center"/>
          </w:tcPr>
          <w:p w14:paraId="63E0F27E">
            <w:pPr>
              <w:pStyle w:val="20"/>
              <w:snapToGrid w:val="0"/>
              <w:spacing w:after="0" w:line="240" w:lineRule="auto"/>
              <w:jc w:val="center"/>
              <w:rPr>
                <w:szCs w:val="21"/>
              </w:rPr>
            </w:pPr>
          </w:p>
        </w:tc>
        <w:tc>
          <w:tcPr>
            <w:tcW w:w="469" w:type="pct"/>
            <w:tcBorders>
              <w:left w:val="single" w:color="auto" w:sz="4" w:space="0"/>
            </w:tcBorders>
            <w:vAlign w:val="center"/>
          </w:tcPr>
          <w:p w14:paraId="47C3AD68">
            <w:pPr>
              <w:pStyle w:val="20"/>
              <w:snapToGrid w:val="0"/>
              <w:spacing w:after="0" w:line="240" w:lineRule="auto"/>
              <w:jc w:val="center"/>
              <w:rPr>
                <w:szCs w:val="21"/>
              </w:rPr>
            </w:pPr>
          </w:p>
        </w:tc>
        <w:tc>
          <w:tcPr>
            <w:tcW w:w="964" w:type="pct"/>
            <w:tcBorders>
              <w:top w:val="single" w:color="auto" w:sz="4" w:space="0"/>
            </w:tcBorders>
            <w:vAlign w:val="center"/>
          </w:tcPr>
          <w:p w14:paraId="38E03C42">
            <w:pPr>
              <w:pStyle w:val="20"/>
              <w:snapToGrid w:val="0"/>
              <w:spacing w:after="0" w:line="240" w:lineRule="auto"/>
              <w:jc w:val="center"/>
              <w:rPr>
                <w:szCs w:val="21"/>
              </w:rPr>
            </w:pPr>
          </w:p>
        </w:tc>
        <w:tc>
          <w:tcPr>
            <w:tcW w:w="964" w:type="pct"/>
            <w:tcBorders>
              <w:right w:val="single" w:color="auto" w:sz="4" w:space="0"/>
            </w:tcBorders>
            <w:vAlign w:val="center"/>
          </w:tcPr>
          <w:p w14:paraId="0D7482C7">
            <w:pPr>
              <w:pStyle w:val="20"/>
              <w:snapToGrid w:val="0"/>
              <w:spacing w:after="0" w:line="240" w:lineRule="auto"/>
              <w:jc w:val="center"/>
              <w:rPr>
                <w:szCs w:val="21"/>
              </w:rPr>
            </w:pPr>
          </w:p>
        </w:tc>
        <w:tc>
          <w:tcPr>
            <w:tcW w:w="964" w:type="pct"/>
            <w:tcBorders>
              <w:right w:val="single" w:color="auto" w:sz="4" w:space="0"/>
            </w:tcBorders>
            <w:vAlign w:val="center"/>
          </w:tcPr>
          <w:p w14:paraId="49C9B4C1">
            <w:pPr>
              <w:pStyle w:val="20"/>
              <w:snapToGrid w:val="0"/>
              <w:spacing w:after="0" w:line="240" w:lineRule="auto"/>
              <w:jc w:val="center"/>
              <w:rPr>
                <w:szCs w:val="21"/>
              </w:rPr>
            </w:pPr>
          </w:p>
        </w:tc>
      </w:tr>
      <w:tr w14:paraId="567E8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01" w:type="pct"/>
            <w:tcBorders>
              <w:right w:val="single" w:color="auto" w:sz="4" w:space="0"/>
            </w:tcBorders>
            <w:vAlign w:val="center"/>
          </w:tcPr>
          <w:p w14:paraId="525CC19F">
            <w:pPr>
              <w:pStyle w:val="20"/>
              <w:snapToGrid w:val="0"/>
              <w:spacing w:after="0" w:line="240" w:lineRule="auto"/>
              <w:jc w:val="center"/>
              <w:rPr>
                <w:szCs w:val="21"/>
              </w:rPr>
            </w:pPr>
          </w:p>
        </w:tc>
        <w:tc>
          <w:tcPr>
            <w:tcW w:w="469" w:type="pct"/>
            <w:vAlign w:val="center"/>
          </w:tcPr>
          <w:p w14:paraId="4B7CD4A4">
            <w:pPr>
              <w:pStyle w:val="20"/>
              <w:snapToGrid w:val="0"/>
              <w:spacing w:after="0" w:line="240" w:lineRule="auto"/>
              <w:jc w:val="center"/>
              <w:rPr>
                <w:szCs w:val="21"/>
              </w:rPr>
            </w:pPr>
          </w:p>
        </w:tc>
        <w:tc>
          <w:tcPr>
            <w:tcW w:w="469" w:type="pct"/>
            <w:tcBorders>
              <w:right w:val="single" w:color="auto" w:sz="4" w:space="0"/>
            </w:tcBorders>
            <w:vAlign w:val="center"/>
          </w:tcPr>
          <w:p w14:paraId="0EF6764A">
            <w:pPr>
              <w:pStyle w:val="20"/>
              <w:snapToGrid w:val="0"/>
              <w:spacing w:after="0" w:line="240" w:lineRule="auto"/>
              <w:jc w:val="center"/>
              <w:rPr>
                <w:szCs w:val="21"/>
              </w:rPr>
            </w:pPr>
          </w:p>
        </w:tc>
        <w:tc>
          <w:tcPr>
            <w:tcW w:w="469" w:type="pct"/>
            <w:tcBorders>
              <w:left w:val="single" w:color="auto" w:sz="4" w:space="0"/>
            </w:tcBorders>
            <w:vAlign w:val="center"/>
          </w:tcPr>
          <w:p w14:paraId="2024BF24">
            <w:pPr>
              <w:pStyle w:val="20"/>
              <w:snapToGrid w:val="0"/>
              <w:spacing w:after="0" w:line="240" w:lineRule="auto"/>
              <w:jc w:val="center"/>
              <w:rPr>
                <w:szCs w:val="21"/>
              </w:rPr>
            </w:pPr>
          </w:p>
        </w:tc>
        <w:tc>
          <w:tcPr>
            <w:tcW w:w="964" w:type="pct"/>
            <w:vAlign w:val="center"/>
          </w:tcPr>
          <w:p w14:paraId="3CC57BC7">
            <w:pPr>
              <w:pStyle w:val="20"/>
              <w:snapToGrid w:val="0"/>
              <w:spacing w:after="0" w:line="240" w:lineRule="auto"/>
              <w:jc w:val="center"/>
              <w:rPr>
                <w:szCs w:val="21"/>
              </w:rPr>
            </w:pPr>
          </w:p>
        </w:tc>
        <w:tc>
          <w:tcPr>
            <w:tcW w:w="964" w:type="pct"/>
            <w:tcBorders>
              <w:right w:val="single" w:color="auto" w:sz="4" w:space="0"/>
            </w:tcBorders>
            <w:vAlign w:val="center"/>
          </w:tcPr>
          <w:p w14:paraId="7F2A67DE">
            <w:pPr>
              <w:pStyle w:val="20"/>
              <w:snapToGrid w:val="0"/>
              <w:spacing w:after="0" w:line="240" w:lineRule="auto"/>
              <w:jc w:val="center"/>
              <w:rPr>
                <w:szCs w:val="21"/>
              </w:rPr>
            </w:pPr>
          </w:p>
        </w:tc>
        <w:tc>
          <w:tcPr>
            <w:tcW w:w="964" w:type="pct"/>
            <w:tcBorders>
              <w:right w:val="single" w:color="auto" w:sz="4" w:space="0"/>
            </w:tcBorders>
            <w:vAlign w:val="center"/>
          </w:tcPr>
          <w:p w14:paraId="18DFA30A">
            <w:pPr>
              <w:pStyle w:val="20"/>
              <w:snapToGrid w:val="0"/>
              <w:spacing w:after="0" w:line="240" w:lineRule="auto"/>
              <w:jc w:val="center"/>
              <w:rPr>
                <w:szCs w:val="21"/>
              </w:rPr>
            </w:pPr>
          </w:p>
        </w:tc>
      </w:tr>
      <w:bookmarkEnd w:id="182"/>
    </w:tbl>
    <w:p w14:paraId="7B9D3E2F">
      <w:pPr>
        <w:pStyle w:val="20"/>
        <w:spacing w:after="0" w:line="240" w:lineRule="auto"/>
        <w:rPr>
          <w:rFonts w:eastAsiaTheme="minorEastAsia"/>
          <w:sz w:val="24"/>
          <w:szCs w:val="24"/>
        </w:rPr>
      </w:pPr>
    </w:p>
    <w:p w14:paraId="73E1C722">
      <w:pPr>
        <w:pStyle w:val="20"/>
        <w:spacing w:after="0" w:line="240" w:lineRule="auto"/>
        <w:rPr>
          <w:rFonts w:eastAsiaTheme="minorEastAsia"/>
          <w:sz w:val="24"/>
          <w:szCs w:val="24"/>
        </w:rPr>
      </w:pPr>
      <w:r>
        <w:rPr>
          <w:rFonts w:eastAsiaTheme="minorEastAsia"/>
          <w:sz w:val="24"/>
          <w:szCs w:val="24"/>
        </w:rPr>
        <w:t>A.</w:t>
      </w:r>
      <w:r>
        <w:rPr>
          <w:rFonts w:hint="eastAsia" w:eastAsiaTheme="minorEastAsia"/>
          <w:sz w:val="24"/>
          <w:szCs w:val="24"/>
        </w:rPr>
        <w:t>2</w:t>
      </w:r>
      <w:r>
        <w:rPr>
          <w:rFonts w:eastAsiaTheme="minorEastAsia"/>
          <w:sz w:val="24"/>
          <w:szCs w:val="24"/>
        </w:rPr>
        <w:t xml:space="preserve"> </w:t>
      </w:r>
      <w:r>
        <w:rPr>
          <w:rFonts w:hint="eastAsia"/>
          <w:sz w:val="24"/>
        </w:rPr>
        <w:t>空气</w:t>
      </w:r>
      <w:r>
        <w:rPr>
          <w:rFonts w:hint="eastAsia" w:eastAsiaTheme="minorEastAsia"/>
          <w:sz w:val="24"/>
          <w:szCs w:val="24"/>
        </w:rPr>
        <w:t>温度示值误差</w:t>
      </w:r>
    </w:p>
    <w:tbl>
      <w:tblPr>
        <w:tblStyle w:val="34"/>
        <w:tblpPr w:leftFromText="180" w:rightFromText="180" w:vertAnchor="text" w:horzAnchor="page" w:tblpX="1404" w:tblpY="9"/>
        <w:tblOverlap w:val="never"/>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04"/>
        <w:gridCol w:w="872"/>
        <w:gridCol w:w="871"/>
        <w:gridCol w:w="871"/>
        <w:gridCol w:w="1792"/>
        <w:gridCol w:w="1792"/>
        <w:gridCol w:w="1792"/>
      </w:tblGrid>
      <w:tr w14:paraId="432C3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701" w:type="pct"/>
            <w:vMerge w:val="restart"/>
            <w:tcBorders>
              <w:right w:val="single" w:color="auto" w:sz="4" w:space="0"/>
            </w:tcBorders>
            <w:vAlign w:val="center"/>
          </w:tcPr>
          <w:p w14:paraId="7634BD63">
            <w:pPr>
              <w:pStyle w:val="20"/>
              <w:snapToGrid w:val="0"/>
              <w:spacing w:after="0" w:line="240" w:lineRule="auto"/>
              <w:jc w:val="center"/>
              <w:rPr>
                <w:szCs w:val="21"/>
              </w:rPr>
            </w:pPr>
            <w:r>
              <w:rPr>
                <w:rFonts w:hint="eastAsia"/>
                <w:szCs w:val="21"/>
              </w:rPr>
              <w:t>设定值/℃</w:t>
            </w:r>
          </w:p>
        </w:tc>
        <w:tc>
          <w:tcPr>
            <w:tcW w:w="1407" w:type="pct"/>
            <w:gridSpan w:val="3"/>
            <w:tcBorders>
              <w:left w:val="single" w:color="auto" w:sz="4" w:space="0"/>
              <w:bottom w:val="single" w:color="auto" w:sz="4" w:space="0"/>
              <w:right w:val="single" w:color="auto" w:sz="4" w:space="0"/>
            </w:tcBorders>
            <w:vAlign w:val="center"/>
          </w:tcPr>
          <w:p w14:paraId="60527FC4">
            <w:pPr>
              <w:pStyle w:val="20"/>
              <w:snapToGrid w:val="0"/>
              <w:spacing w:after="0" w:line="240" w:lineRule="auto"/>
              <w:jc w:val="center"/>
              <w:rPr>
                <w:szCs w:val="21"/>
              </w:rPr>
            </w:pPr>
            <w:r>
              <w:rPr>
                <w:rFonts w:hint="eastAsia"/>
                <w:szCs w:val="21"/>
              </w:rPr>
              <w:t>测量值/℃</w:t>
            </w:r>
          </w:p>
        </w:tc>
        <w:tc>
          <w:tcPr>
            <w:tcW w:w="964" w:type="pct"/>
            <w:vMerge w:val="restart"/>
            <w:tcBorders>
              <w:left w:val="single" w:color="auto" w:sz="4" w:space="0"/>
            </w:tcBorders>
            <w:vAlign w:val="center"/>
          </w:tcPr>
          <w:p w14:paraId="57FC6555">
            <w:pPr>
              <w:pStyle w:val="20"/>
              <w:snapToGrid w:val="0"/>
              <w:spacing w:after="0" w:line="240" w:lineRule="auto"/>
              <w:jc w:val="center"/>
              <w:rPr>
                <w:szCs w:val="21"/>
              </w:rPr>
            </w:pPr>
            <w:r>
              <w:rPr>
                <w:szCs w:val="21"/>
              </w:rPr>
              <w:t>测量平均值</w:t>
            </w:r>
            <w:r>
              <w:rPr>
                <w:rFonts w:hint="eastAsia"/>
                <w:szCs w:val="21"/>
              </w:rPr>
              <w:t>/℃</w:t>
            </w:r>
          </w:p>
        </w:tc>
        <w:tc>
          <w:tcPr>
            <w:tcW w:w="964" w:type="pct"/>
            <w:vMerge w:val="restart"/>
            <w:tcBorders>
              <w:right w:val="single" w:color="auto" w:sz="4" w:space="0"/>
            </w:tcBorders>
            <w:vAlign w:val="center"/>
          </w:tcPr>
          <w:p w14:paraId="08C853A3">
            <w:pPr>
              <w:pStyle w:val="20"/>
              <w:snapToGrid w:val="0"/>
              <w:spacing w:after="0" w:line="240" w:lineRule="auto"/>
              <w:jc w:val="center"/>
              <w:rPr>
                <w:szCs w:val="21"/>
              </w:rPr>
            </w:pPr>
            <w:r>
              <w:rPr>
                <w:szCs w:val="21"/>
              </w:rPr>
              <w:t>示值误差</w:t>
            </w:r>
            <w:r>
              <w:rPr>
                <w:rFonts w:hint="eastAsia"/>
                <w:szCs w:val="21"/>
              </w:rPr>
              <w:t>/℃</w:t>
            </w:r>
          </w:p>
        </w:tc>
        <w:tc>
          <w:tcPr>
            <w:tcW w:w="964" w:type="pct"/>
            <w:vMerge w:val="restart"/>
            <w:tcBorders>
              <w:right w:val="single" w:color="auto" w:sz="4" w:space="0"/>
            </w:tcBorders>
            <w:vAlign w:val="center"/>
          </w:tcPr>
          <w:p w14:paraId="083D3AF5">
            <w:pPr>
              <w:pStyle w:val="20"/>
              <w:snapToGrid w:val="0"/>
              <w:spacing w:after="0" w:line="240" w:lineRule="auto"/>
              <w:jc w:val="center"/>
              <w:rPr>
                <w:szCs w:val="21"/>
              </w:rPr>
            </w:pPr>
            <w:bookmarkStart w:id="183" w:name="OLE_LINK30"/>
            <w:r>
              <w:rPr>
                <w:szCs w:val="21"/>
              </w:rPr>
              <w:t>扩展不确定度</w:t>
            </w:r>
          </w:p>
          <w:p w14:paraId="300B78F6">
            <w:pPr>
              <w:pStyle w:val="20"/>
              <w:snapToGrid w:val="0"/>
              <w:spacing w:after="0" w:line="240" w:lineRule="auto"/>
              <w:jc w:val="center"/>
              <w:rPr>
                <w:szCs w:val="21"/>
              </w:rPr>
            </w:pPr>
            <w:r>
              <w:rPr>
                <w:i/>
                <w:iCs/>
                <w:szCs w:val="21"/>
              </w:rPr>
              <w:t>U</w:t>
            </w:r>
            <w:r>
              <w:rPr>
                <w:rFonts w:hint="eastAsia"/>
                <w:szCs w:val="21"/>
              </w:rPr>
              <w:t>/℃</w:t>
            </w:r>
            <w:r>
              <w:rPr>
                <w:szCs w:val="21"/>
              </w:rPr>
              <w:t>（</w:t>
            </w:r>
            <w:r>
              <w:rPr>
                <w:i/>
                <w:iCs/>
                <w:szCs w:val="21"/>
              </w:rPr>
              <w:t>k</w:t>
            </w:r>
            <w:r>
              <w:rPr>
                <w:szCs w:val="21"/>
              </w:rPr>
              <w:t>=2）</w:t>
            </w:r>
            <w:bookmarkEnd w:id="183"/>
          </w:p>
        </w:tc>
      </w:tr>
      <w:tr w14:paraId="6D55C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701" w:type="pct"/>
            <w:vMerge w:val="continue"/>
            <w:tcBorders>
              <w:bottom w:val="single" w:color="auto" w:sz="4" w:space="0"/>
              <w:right w:val="single" w:color="auto" w:sz="4" w:space="0"/>
            </w:tcBorders>
          </w:tcPr>
          <w:p w14:paraId="1197A797">
            <w:pPr>
              <w:pStyle w:val="20"/>
              <w:snapToGrid w:val="0"/>
              <w:spacing w:after="0" w:line="240" w:lineRule="auto"/>
              <w:jc w:val="center"/>
              <w:rPr>
                <w:szCs w:val="21"/>
              </w:rPr>
            </w:pPr>
          </w:p>
        </w:tc>
        <w:tc>
          <w:tcPr>
            <w:tcW w:w="469" w:type="pct"/>
            <w:tcBorders>
              <w:top w:val="single" w:color="auto" w:sz="4" w:space="0"/>
              <w:left w:val="single" w:color="auto" w:sz="4" w:space="0"/>
            </w:tcBorders>
            <w:vAlign w:val="center"/>
          </w:tcPr>
          <w:p w14:paraId="0205087A">
            <w:pPr>
              <w:pStyle w:val="20"/>
              <w:snapToGrid w:val="0"/>
              <w:spacing w:after="0" w:line="240" w:lineRule="auto"/>
              <w:jc w:val="center"/>
              <w:rPr>
                <w:szCs w:val="21"/>
              </w:rPr>
            </w:pPr>
            <w:r>
              <w:rPr>
                <w:szCs w:val="21"/>
              </w:rPr>
              <w:t>1</w:t>
            </w:r>
          </w:p>
        </w:tc>
        <w:tc>
          <w:tcPr>
            <w:tcW w:w="469" w:type="pct"/>
            <w:tcBorders>
              <w:top w:val="single" w:color="auto" w:sz="4" w:space="0"/>
              <w:right w:val="single" w:color="auto" w:sz="4" w:space="0"/>
            </w:tcBorders>
            <w:vAlign w:val="center"/>
          </w:tcPr>
          <w:p w14:paraId="1622E1C7">
            <w:pPr>
              <w:pStyle w:val="20"/>
              <w:snapToGrid w:val="0"/>
              <w:spacing w:after="0" w:line="240" w:lineRule="auto"/>
              <w:jc w:val="center"/>
              <w:rPr>
                <w:szCs w:val="21"/>
              </w:rPr>
            </w:pPr>
            <w:r>
              <w:rPr>
                <w:szCs w:val="21"/>
              </w:rPr>
              <w:t>2</w:t>
            </w:r>
          </w:p>
        </w:tc>
        <w:tc>
          <w:tcPr>
            <w:tcW w:w="469" w:type="pct"/>
            <w:tcBorders>
              <w:left w:val="single" w:color="auto" w:sz="4" w:space="0"/>
              <w:right w:val="single" w:color="auto" w:sz="4" w:space="0"/>
            </w:tcBorders>
            <w:vAlign w:val="center"/>
          </w:tcPr>
          <w:p w14:paraId="533C3E46">
            <w:pPr>
              <w:pStyle w:val="20"/>
              <w:snapToGrid w:val="0"/>
              <w:spacing w:after="0" w:line="240" w:lineRule="auto"/>
              <w:jc w:val="center"/>
              <w:rPr>
                <w:szCs w:val="21"/>
              </w:rPr>
            </w:pPr>
            <w:r>
              <w:rPr>
                <w:szCs w:val="21"/>
              </w:rPr>
              <w:t>3</w:t>
            </w:r>
          </w:p>
        </w:tc>
        <w:tc>
          <w:tcPr>
            <w:tcW w:w="964" w:type="pct"/>
            <w:vMerge w:val="continue"/>
            <w:tcBorders>
              <w:left w:val="single" w:color="auto" w:sz="4" w:space="0"/>
            </w:tcBorders>
            <w:vAlign w:val="center"/>
          </w:tcPr>
          <w:p w14:paraId="492DF000">
            <w:pPr>
              <w:pStyle w:val="20"/>
              <w:snapToGrid w:val="0"/>
              <w:spacing w:after="0" w:line="240" w:lineRule="auto"/>
              <w:jc w:val="center"/>
              <w:rPr>
                <w:szCs w:val="21"/>
              </w:rPr>
            </w:pPr>
          </w:p>
        </w:tc>
        <w:tc>
          <w:tcPr>
            <w:tcW w:w="964" w:type="pct"/>
            <w:vMerge w:val="continue"/>
            <w:tcBorders>
              <w:right w:val="single" w:color="auto" w:sz="4" w:space="0"/>
            </w:tcBorders>
            <w:vAlign w:val="center"/>
          </w:tcPr>
          <w:p w14:paraId="025D1169">
            <w:pPr>
              <w:pStyle w:val="20"/>
              <w:snapToGrid w:val="0"/>
              <w:spacing w:after="0" w:line="240" w:lineRule="auto"/>
              <w:jc w:val="center"/>
              <w:rPr>
                <w:szCs w:val="21"/>
              </w:rPr>
            </w:pPr>
          </w:p>
        </w:tc>
        <w:tc>
          <w:tcPr>
            <w:tcW w:w="964" w:type="pct"/>
            <w:vMerge w:val="continue"/>
            <w:tcBorders>
              <w:right w:val="single" w:color="auto" w:sz="4" w:space="0"/>
            </w:tcBorders>
            <w:vAlign w:val="center"/>
          </w:tcPr>
          <w:p w14:paraId="4771A1B7">
            <w:pPr>
              <w:pStyle w:val="20"/>
              <w:snapToGrid w:val="0"/>
              <w:spacing w:after="0" w:line="240" w:lineRule="auto"/>
              <w:jc w:val="center"/>
              <w:rPr>
                <w:szCs w:val="21"/>
              </w:rPr>
            </w:pPr>
          </w:p>
        </w:tc>
      </w:tr>
      <w:tr w14:paraId="27AE4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01" w:type="pct"/>
            <w:tcBorders>
              <w:right w:val="single" w:color="auto" w:sz="4" w:space="0"/>
            </w:tcBorders>
            <w:vAlign w:val="center"/>
          </w:tcPr>
          <w:p w14:paraId="0EFF2049">
            <w:pPr>
              <w:pStyle w:val="20"/>
              <w:snapToGrid w:val="0"/>
              <w:spacing w:after="0" w:line="240" w:lineRule="auto"/>
              <w:jc w:val="center"/>
              <w:rPr>
                <w:szCs w:val="21"/>
              </w:rPr>
            </w:pPr>
          </w:p>
        </w:tc>
        <w:tc>
          <w:tcPr>
            <w:tcW w:w="469" w:type="pct"/>
            <w:tcBorders>
              <w:top w:val="single" w:color="auto" w:sz="4" w:space="0"/>
              <w:left w:val="single" w:color="auto" w:sz="4" w:space="0"/>
            </w:tcBorders>
            <w:vAlign w:val="center"/>
          </w:tcPr>
          <w:p w14:paraId="6C8648CA">
            <w:pPr>
              <w:pStyle w:val="20"/>
              <w:snapToGrid w:val="0"/>
              <w:spacing w:after="0" w:line="240" w:lineRule="auto"/>
              <w:jc w:val="center"/>
              <w:rPr>
                <w:szCs w:val="21"/>
              </w:rPr>
            </w:pPr>
          </w:p>
        </w:tc>
        <w:tc>
          <w:tcPr>
            <w:tcW w:w="469" w:type="pct"/>
            <w:tcBorders>
              <w:top w:val="single" w:color="auto" w:sz="4" w:space="0"/>
              <w:right w:val="single" w:color="auto" w:sz="4" w:space="0"/>
            </w:tcBorders>
            <w:vAlign w:val="center"/>
          </w:tcPr>
          <w:p w14:paraId="76A35707">
            <w:pPr>
              <w:pStyle w:val="20"/>
              <w:snapToGrid w:val="0"/>
              <w:spacing w:after="0" w:line="240" w:lineRule="auto"/>
              <w:jc w:val="center"/>
              <w:rPr>
                <w:szCs w:val="21"/>
              </w:rPr>
            </w:pPr>
          </w:p>
        </w:tc>
        <w:tc>
          <w:tcPr>
            <w:tcW w:w="469" w:type="pct"/>
            <w:tcBorders>
              <w:left w:val="single" w:color="auto" w:sz="4" w:space="0"/>
            </w:tcBorders>
            <w:vAlign w:val="center"/>
          </w:tcPr>
          <w:p w14:paraId="734EAC3D">
            <w:pPr>
              <w:pStyle w:val="20"/>
              <w:snapToGrid w:val="0"/>
              <w:spacing w:after="0" w:line="240" w:lineRule="auto"/>
              <w:jc w:val="center"/>
              <w:rPr>
                <w:szCs w:val="21"/>
              </w:rPr>
            </w:pPr>
          </w:p>
        </w:tc>
        <w:tc>
          <w:tcPr>
            <w:tcW w:w="964" w:type="pct"/>
            <w:tcBorders>
              <w:top w:val="single" w:color="auto" w:sz="4" w:space="0"/>
            </w:tcBorders>
            <w:vAlign w:val="center"/>
          </w:tcPr>
          <w:p w14:paraId="2C329460">
            <w:pPr>
              <w:pStyle w:val="20"/>
              <w:snapToGrid w:val="0"/>
              <w:spacing w:after="0" w:line="240" w:lineRule="auto"/>
              <w:jc w:val="center"/>
              <w:rPr>
                <w:szCs w:val="21"/>
              </w:rPr>
            </w:pPr>
          </w:p>
        </w:tc>
        <w:tc>
          <w:tcPr>
            <w:tcW w:w="964" w:type="pct"/>
            <w:tcBorders>
              <w:right w:val="single" w:color="auto" w:sz="4" w:space="0"/>
            </w:tcBorders>
            <w:vAlign w:val="center"/>
          </w:tcPr>
          <w:p w14:paraId="2B72F63A">
            <w:pPr>
              <w:pStyle w:val="20"/>
              <w:snapToGrid w:val="0"/>
              <w:spacing w:after="0" w:line="240" w:lineRule="auto"/>
              <w:jc w:val="center"/>
              <w:rPr>
                <w:szCs w:val="21"/>
              </w:rPr>
            </w:pPr>
          </w:p>
        </w:tc>
        <w:tc>
          <w:tcPr>
            <w:tcW w:w="964" w:type="pct"/>
            <w:tcBorders>
              <w:right w:val="single" w:color="auto" w:sz="4" w:space="0"/>
            </w:tcBorders>
            <w:vAlign w:val="center"/>
          </w:tcPr>
          <w:p w14:paraId="745CD041">
            <w:pPr>
              <w:pStyle w:val="20"/>
              <w:snapToGrid w:val="0"/>
              <w:spacing w:after="0" w:line="240" w:lineRule="auto"/>
              <w:jc w:val="center"/>
              <w:rPr>
                <w:szCs w:val="21"/>
              </w:rPr>
            </w:pPr>
          </w:p>
        </w:tc>
      </w:tr>
      <w:tr w14:paraId="711F4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01" w:type="pct"/>
            <w:tcBorders>
              <w:right w:val="single" w:color="auto" w:sz="4" w:space="0"/>
            </w:tcBorders>
            <w:vAlign w:val="center"/>
          </w:tcPr>
          <w:p w14:paraId="65145ADC">
            <w:pPr>
              <w:pStyle w:val="20"/>
              <w:snapToGrid w:val="0"/>
              <w:spacing w:after="0" w:line="240" w:lineRule="auto"/>
              <w:jc w:val="center"/>
              <w:rPr>
                <w:szCs w:val="21"/>
              </w:rPr>
            </w:pPr>
          </w:p>
        </w:tc>
        <w:tc>
          <w:tcPr>
            <w:tcW w:w="469" w:type="pct"/>
            <w:tcBorders>
              <w:top w:val="single" w:color="auto" w:sz="4" w:space="0"/>
              <w:left w:val="single" w:color="auto" w:sz="4" w:space="0"/>
            </w:tcBorders>
            <w:vAlign w:val="center"/>
          </w:tcPr>
          <w:p w14:paraId="58EE9D4F">
            <w:pPr>
              <w:pStyle w:val="20"/>
              <w:snapToGrid w:val="0"/>
              <w:spacing w:after="0" w:line="240" w:lineRule="auto"/>
              <w:jc w:val="center"/>
              <w:rPr>
                <w:szCs w:val="21"/>
              </w:rPr>
            </w:pPr>
          </w:p>
        </w:tc>
        <w:tc>
          <w:tcPr>
            <w:tcW w:w="469" w:type="pct"/>
            <w:tcBorders>
              <w:top w:val="single" w:color="auto" w:sz="4" w:space="0"/>
              <w:right w:val="single" w:color="auto" w:sz="4" w:space="0"/>
            </w:tcBorders>
            <w:vAlign w:val="center"/>
          </w:tcPr>
          <w:p w14:paraId="5515D569">
            <w:pPr>
              <w:pStyle w:val="20"/>
              <w:snapToGrid w:val="0"/>
              <w:spacing w:after="0" w:line="240" w:lineRule="auto"/>
              <w:jc w:val="center"/>
              <w:rPr>
                <w:szCs w:val="21"/>
              </w:rPr>
            </w:pPr>
          </w:p>
        </w:tc>
        <w:tc>
          <w:tcPr>
            <w:tcW w:w="469" w:type="pct"/>
            <w:tcBorders>
              <w:left w:val="single" w:color="auto" w:sz="4" w:space="0"/>
            </w:tcBorders>
            <w:vAlign w:val="center"/>
          </w:tcPr>
          <w:p w14:paraId="41A904B2">
            <w:pPr>
              <w:pStyle w:val="20"/>
              <w:snapToGrid w:val="0"/>
              <w:spacing w:after="0" w:line="240" w:lineRule="auto"/>
              <w:jc w:val="center"/>
              <w:rPr>
                <w:szCs w:val="21"/>
              </w:rPr>
            </w:pPr>
          </w:p>
        </w:tc>
        <w:tc>
          <w:tcPr>
            <w:tcW w:w="964" w:type="pct"/>
            <w:tcBorders>
              <w:top w:val="single" w:color="auto" w:sz="4" w:space="0"/>
            </w:tcBorders>
            <w:vAlign w:val="center"/>
          </w:tcPr>
          <w:p w14:paraId="0C25FB8E">
            <w:pPr>
              <w:pStyle w:val="20"/>
              <w:snapToGrid w:val="0"/>
              <w:spacing w:after="0" w:line="240" w:lineRule="auto"/>
              <w:jc w:val="center"/>
              <w:rPr>
                <w:szCs w:val="21"/>
              </w:rPr>
            </w:pPr>
          </w:p>
        </w:tc>
        <w:tc>
          <w:tcPr>
            <w:tcW w:w="964" w:type="pct"/>
            <w:tcBorders>
              <w:right w:val="single" w:color="auto" w:sz="4" w:space="0"/>
            </w:tcBorders>
            <w:vAlign w:val="center"/>
          </w:tcPr>
          <w:p w14:paraId="283036BA">
            <w:pPr>
              <w:pStyle w:val="20"/>
              <w:snapToGrid w:val="0"/>
              <w:spacing w:after="0" w:line="240" w:lineRule="auto"/>
              <w:jc w:val="center"/>
              <w:rPr>
                <w:szCs w:val="21"/>
              </w:rPr>
            </w:pPr>
          </w:p>
        </w:tc>
        <w:tc>
          <w:tcPr>
            <w:tcW w:w="964" w:type="pct"/>
            <w:tcBorders>
              <w:right w:val="single" w:color="auto" w:sz="4" w:space="0"/>
            </w:tcBorders>
            <w:vAlign w:val="center"/>
          </w:tcPr>
          <w:p w14:paraId="5CB043A0">
            <w:pPr>
              <w:pStyle w:val="20"/>
              <w:snapToGrid w:val="0"/>
              <w:spacing w:after="0" w:line="240" w:lineRule="auto"/>
              <w:jc w:val="center"/>
              <w:rPr>
                <w:szCs w:val="21"/>
              </w:rPr>
            </w:pPr>
          </w:p>
        </w:tc>
      </w:tr>
      <w:tr w14:paraId="55CC3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01" w:type="pct"/>
            <w:tcBorders>
              <w:right w:val="single" w:color="auto" w:sz="4" w:space="0"/>
            </w:tcBorders>
            <w:vAlign w:val="center"/>
          </w:tcPr>
          <w:p w14:paraId="588B802E">
            <w:pPr>
              <w:pStyle w:val="20"/>
              <w:snapToGrid w:val="0"/>
              <w:spacing w:after="0" w:line="240" w:lineRule="auto"/>
              <w:jc w:val="center"/>
              <w:rPr>
                <w:szCs w:val="21"/>
              </w:rPr>
            </w:pPr>
          </w:p>
        </w:tc>
        <w:tc>
          <w:tcPr>
            <w:tcW w:w="469" w:type="pct"/>
            <w:vAlign w:val="center"/>
          </w:tcPr>
          <w:p w14:paraId="7AC14331">
            <w:pPr>
              <w:pStyle w:val="20"/>
              <w:snapToGrid w:val="0"/>
              <w:spacing w:after="0" w:line="240" w:lineRule="auto"/>
              <w:jc w:val="center"/>
              <w:rPr>
                <w:szCs w:val="21"/>
              </w:rPr>
            </w:pPr>
          </w:p>
        </w:tc>
        <w:tc>
          <w:tcPr>
            <w:tcW w:w="469" w:type="pct"/>
            <w:tcBorders>
              <w:right w:val="single" w:color="auto" w:sz="4" w:space="0"/>
            </w:tcBorders>
            <w:vAlign w:val="center"/>
          </w:tcPr>
          <w:p w14:paraId="633BB0E0">
            <w:pPr>
              <w:pStyle w:val="20"/>
              <w:snapToGrid w:val="0"/>
              <w:spacing w:after="0" w:line="240" w:lineRule="auto"/>
              <w:jc w:val="center"/>
              <w:rPr>
                <w:szCs w:val="21"/>
              </w:rPr>
            </w:pPr>
          </w:p>
        </w:tc>
        <w:tc>
          <w:tcPr>
            <w:tcW w:w="469" w:type="pct"/>
            <w:tcBorders>
              <w:left w:val="single" w:color="auto" w:sz="4" w:space="0"/>
            </w:tcBorders>
            <w:vAlign w:val="center"/>
          </w:tcPr>
          <w:p w14:paraId="03FD67CE">
            <w:pPr>
              <w:pStyle w:val="20"/>
              <w:snapToGrid w:val="0"/>
              <w:spacing w:after="0" w:line="240" w:lineRule="auto"/>
              <w:jc w:val="center"/>
              <w:rPr>
                <w:szCs w:val="21"/>
              </w:rPr>
            </w:pPr>
          </w:p>
        </w:tc>
        <w:tc>
          <w:tcPr>
            <w:tcW w:w="964" w:type="pct"/>
            <w:vAlign w:val="center"/>
          </w:tcPr>
          <w:p w14:paraId="2B8408ED">
            <w:pPr>
              <w:pStyle w:val="20"/>
              <w:snapToGrid w:val="0"/>
              <w:spacing w:after="0" w:line="240" w:lineRule="auto"/>
              <w:jc w:val="center"/>
              <w:rPr>
                <w:szCs w:val="21"/>
              </w:rPr>
            </w:pPr>
          </w:p>
        </w:tc>
        <w:tc>
          <w:tcPr>
            <w:tcW w:w="964" w:type="pct"/>
            <w:tcBorders>
              <w:right w:val="single" w:color="auto" w:sz="4" w:space="0"/>
            </w:tcBorders>
            <w:vAlign w:val="center"/>
          </w:tcPr>
          <w:p w14:paraId="035743B1">
            <w:pPr>
              <w:pStyle w:val="20"/>
              <w:snapToGrid w:val="0"/>
              <w:spacing w:after="0" w:line="240" w:lineRule="auto"/>
              <w:jc w:val="center"/>
              <w:rPr>
                <w:szCs w:val="21"/>
              </w:rPr>
            </w:pPr>
          </w:p>
        </w:tc>
        <w:tc>
          <w:tcPr>
            <w:tcW w:w="964" w:type="pct"/>
            <w:tcBorders>
              <w:right w:val="single" w:color="auto" w:sz="4" w:space="0"/>
            </w:tcBorders>
            <w:vAlign w:val="center"/>
          </w:tcPr>
          <w:p w14:paraId="45CC9DBD">
            <w:pPr>
              <w:pStyle w:val="20"/>
              <w:snapToGrid w:val="0"/>
              <w:spacing w:after="0" w:line="240" w:lineRule="auto"/>
              <w:jc w:val="center"/>
              <w:rPr>
                <w:szCs w:val="21"/>
              </w:rPr>
            </w:pPr>
          </w:p>
        </w:tc>
      </w:tr>
    </w:tbl>
    <w:p w14:paraId="6800A26D">
      <w:pPr>
        <w:pStyle w:val="20"/>
        <w:spacing w:after="0" w:line="240" w:lineRule="auto"/>
        <w:rPr>
          <w:rFonts w:eastAsiaTheme="minorEastAsia"/>
          <w:sz w:val="24"/>
          <w:szCs w:val="24"/>
        </w:rPr>
      </w:pPr>
    </w:p>
    <w:p w14:paraId="3CEE4BEA">
      <w:pPr>
        <w:pStyle w:val="20"/>
        <w:spacing w:after="0" w:line="240" w:lineRule="auto"/>
        <w:rPr>
          <w:rFonts w:eastAsiaTheme="minorEastAsia"/>
          <w:sz w:val="24"/>
          <w:szCs w:val="24"/>
        </w:rPr>
      </w:pPr>
      <w:r>
        <w:rPr>
          <w:rFonts w:eastAsiaTheme="minorEastAsia"/>
          <w:sz w:val="24"/>
          <w:szCs w:val="24"/>
        </w:rPr>
        <w:t>A.</w:t>
      </w:r>
      <w:r>
        <w:rPr>
          <w:rFonts w:hint="eastAsia" w:eastAsiaTheme="minorEastAsia"/>
          <w:sz w:val="24"/>
          <w:szCs w:val="24"/>
        </w:rPr>
        <w:t>3</w:t>
      </w:r>
      <w:r>
        <w:rPr>
          <w:rFonts w:eastAsiaTheme="minorEastAsia"/>
          <w:sz w:val="24"/>
          <w:szCs w:val="24"/>
        </w:rPr>
        <w:t xml:space="preserve"> </w:t>
      </w:r>
      <w:r>
        <w:rPr>
          <w:rFonts w:hint="eastAsia" w:eastAsiaTheme="minorEastAsia"/>
          <w:sz w:val="24"/>
          <w:szCs w:val="24"/>
        </w:rPr>
        <w:t>压力示值误差</w:t>
      </w:r>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7"/>
        <w:gridCol w:w="1220"/>
        <w:gridCol w:w="1134"/>
        <w:gridCol w:w="1134"/>
        <w:gridCol w:w="1276"/>
        <w:gridCol w:w="1417"/>
        <w:gridCol w:w="1552"/>
      </w:tblGrid>
      <w:tr w14:paraId="4FA4F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1327" w:type="dxa"/>
            <w:vMerge w:val="restart"/>
            <w:vAlign w:val="center"/>
          </w:tcPr>
          <w:p w14:paraId="791CA09D">
            <w:pPr>
              <w:pStyle w:val="20"/>
              <w:spacing w:after="0" w:line="240" w:lineRule="auto"/>
              <w:jc w:val="center"/>
              <w:rPr>
                <w:rFonts w:ascii="Times New Roman" w:hAnsi="Times New Roman" w:eastAsiaTheme="minorEastAsia"/>
                <w:szCs w:val="21"/>
              </w:rPr>
            </w:pPr>
            <w:r>
              <w:rPr>
                <w:rFonts w:ascii="Times New Roman" w:hAnsi="Times New Roman" w:eastAsiaTheme="minorEastAsia"/>
                <w:szCs w:val="21"/>
              </w:rPr>
              <w:t>压力显示值/kPa</w:t>
            </w:r>
          </w:p>
        </w:tc>
        <w:tc>
          <w:tcPr>
            <w:tcW w:w="3488" w:type="dxa"/>
            <w:gridSpan w:val="3"/>
            <w:vAlign w:val="center"/>
          </w:tcPr>
          <w:p w14:paraId="493EA405">
            <w:pPr>
              <w:pStyle w:val="20"/>
              <w:spacing w:after="0" w:line="240" w:lineRule="auto"/>
              <w:jc w:val="center"/>
              <w:rPr>
                <w:rFonts w:ascii="Times New Roman" w:hAnsi="Times New Roman" w:eastAsiaTheme="minorEastAsia"/>
                <w:szCs w:val="21"/>
              </w:rPr>
            </w:pPr>
            <w:r>
              <w:rPr>
                <w:rFonts w:ascii="Times New Roman" w:hAnsi="Times New Roman" w:eastAsiaTheme="minorEastAsia"/>
                <w:szCs w:val="21"/>
              </w:rPr>
              <w:t>测</w:t>
            </w:r>
            <w:r>
              <w:rPr>
                <w:rFonts w:hint="eastAsia" w:ascii="Times New Roman" w:hAnsi="Times New Roman" w:eastAsiaTheme="minorEastAsia"/>
                <w:szCs w:val="21"/>
              </w:rPr>
              <w:t>量</w:t>
            </w:r>
            <w:r>
              <w:rPr>
                <w:rFonts w:ascii="Times New Roman" w:hAnsi="Times New Roman" w:eastAsiaTheme="minorEastAsia"/>
                <w:szCs w:val="21"/>
              </w:rPr>
              <w:t>值/kPa</w:t>
            </w:r>
          </w:p>
        </w:tc>
        <w:tc>
          <w:tcPr>
            <w:tcW w:w="1276" w:type="dxa"/>
            <w:vMerge w:val="restart"/>
            <w:vAlign w:val="center"/>
          </w:tcPr>
          <w:p w14:paraId="032730A8">
            <w:pPr>
              <w:pStyle w:val="20"/>
              <w:spacing w:after="0" w:line="240" w:lineRule="auto"/>
              <w:jc w:val="center"/>
              <w:rPr>
                <w:rFonts w:ascii="Times New Roman" w:hAnsi="Times New Roman" w:eastAsiaTheme="minorEastAsia"/>
                <w:szCs w:val="21"/>
              </w:rPr>
            </w:pPr>
            <w:r>
              <w:rPr>
                <w:rFonts w:hint="eastAsia" w:ascii="Times New Roman" w:hAnsi="Times New Roman" w:eastAsiaTheme="minorEastAsia"/>
                <w:szCs w:val="21"/>
              </w:rPr>
              <w:t>测量</w:t>
            </w:r>
            <w:r>
              <w:rPr>
                <w:rFonts w:ascii="Times New Roman" w:hAnsi="Times New Roman" w:eastAsiaTheme="minorEastAsia"/>
                <w:szCs w:val="21"/>
              </w:rPr>
              <w:t>平均值/kPa</w:t>
            </w:r>
          </w:p>
        </w:tc>
        <w:tc>
          <w:tcPr>
            <w:tcW w:w="1417" w:type="dxa"/>
            <w:vMerge w:val="restart"/>
            <w:vAlign w:val="center"/>
          </w:tcPr>
          <w:p w14:paraId="11825289">
            <w:pPr>
              <w:pStyle w:val="20"/>
              <w:spacing w:after="0" w:line="240" w:lineRule="auto"/>
              <w:jc w:val="center"/>
              <w:rPr>
                <w:rFonts w:ascii="Times New Roman" w:hAnsi="Times New Roman" w:eastAsiaTheme="minorEastAsia"/>
                <w:szCs w:val="21"/>
              </w:rPr>
            </w:pPr>
            <w:r>
              <w:rPr>
                <w:rFonts w:ascii="Times New Roman" w:hAnsi="Times New Roman" w:eastAsiaTheme="minorEastAsia"/>
                <w:szCs w:val="21"/>
              </w:rPr>
              <w:t>示值误差/kPa</w:t>
            </w:r>
          </w:p>
        </w:tc>
        <w:tc>
          <w:tcPr>
            <w:tcW w:w="1552" w:type="dxa"/>
            <w:vMerge w:val="restart"/>
            <w:vAlign w:val="center"/>
          </w:tcPr>
          <w:p w14:paraId="24C207C0">
            <w:pPr>
              <w:pStyle w:val="20"/>
              <w:snapToGrid w:val="0"/>
              <w:spacing w:after="0" w:line="240" w:lineRule="auto"/>
              <w:jc w:val="center"/>
              <w:rPr>
                <w:rFonts w:ascii="Calibri" w:hAnsi="Calibri"/>
                <w:szCs w:val="21"/>
              </w:rPr>
            </w:pPr>
            <w:r>
              <w:rPr>
                <w:rFonts w:ascii="Calibri" w:hAnsi="Calibri"/>
                <w:szCs w:val="21"/>
              </w:rPr>
              <w:t>扩展不确定度</w:t>
            </w:r>
          </w:p>
          <w:p w14:paraId="24C9371C">
            <w:pPr>
              <w:pStyle w:val="20"/>
              <w:spacing w:after="0" w:line="240" w:lineRule="auto"/>
              <w:jc w:val="center"/>
              <w:rPr>
                <w:rFonts w:ascii="Times New Roman" w:hAnsi="Times New Roman" w:eastAsiaTheme="minorEastAsia"/>
                <w:szCs w:val="21"/>
              </w:rPr>
            </w:pPr>
            <w:r>
              <w:rPr>
                <w:rFonts w:ascii="Times New Roman" w:hAnsi="Times New Roman"/>
                <w:i/>
                <w:iCs/>
                <w:szCs w:val="21"/>
              </w:rPr>
              <w:t>U</w:t>
            </w:r>
            <w:r>
              <w:rPr>
                <w:rFonts w:ascii="Times New Roman" w:hAnsi="Times New Roman"/>
                <w:szCs w:val="21"/>
              </w:rPr>
              <w:t>/kPa（</w:t>
            </w:r>
            <w:r>
              <w:rPr>
                <w:rFonts w:ascii="Times New Roman" w:hAnsi="Times New Roman"/>
                <w:i/>
                <w:iCs/>
                <w:szCs w:val="21"/>
              </w:rPr>
              <w:t>k</w:t>
            </w:r>
            <w:r>
              <w:rPr>
                <w:rFonts w:ascii="Times New Roman" w:hAnsi="Times New Roman"/>
                <w:szCs w:val="21"/>
              </w:rPr>
              <w:t>=2）</w:t>
            </w:r>
          </w:p>
        </w:tc>
      </w:tr>
      <w:tr w14:paraId="4BCDC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1327" w:type="dxa"/>
            <w:vMerge w:val="continue"/>
            <w:vAlign w:val="center"/>
          </w:tcPr>
          <w:p w14:paraId="0700FF00">
            <w:pPr>
              <w:pStyle w:val="20"/>
              <w:spacing w:after="0" w:line="240" w:lineRule="auto"/>
              <w:jc w:val="center"/>
              <w:rPr>
                <w:rFonts w:ascii="Times New Roman" w:hAnsi="Times New Roman" w:eastAsiaTheme="minorEastAsia"/>
                <w:szCs w:val="21"/>
              </w:rPr>
            </w:pPr>
          </w:p>
        </w:tc>
        <w:tc>
          <w:tcPr>
            <w:tcW w:w="1220" w:type="dxa"/>
            <w:vAlign w:val="center"/>
          </w:tcPr>
          <w:p w14:paraId="4C434BE9">
            <w:pPr>
              <w:pStyle w:val="20"/>
              <w:spacing w:after="0" w:line="240" w:lineRule="auto"/>
              <w:jc w:val="center"/>
              <w:rPr>
                <w:rFonts w:ascii="Times New Roman" w:hAnsi="Times New Roman" w:eastAsiaTheme="minorEastAsia"/>
                <w:szCs w:val="21"/>
              </w:rPr>
            </w:pPr>
            <w:r>
              <w:rPr>
                <w:rFonts w:hint="eastAsia" w:ascii="Times New Roman" w:hAnsi="Times New Roman" w:eastAsiaTheme="minorEastAsia"/>
                <w:szCs w:val="21"/>
              </w:rPr>
              <w:t>1</w:t>
            </w:r>
          </w:p>
        </w:tc>
        <w:tc>
          <w:tcPr>
            <w:tcW w:w="1134" w:type="dxa"/>
            <w:vAlign w:val="center"/>
          </w:tcPr>
          <w:p w14:paraId="4CC40A3A">
            <w:pPr>
              <w:pStyle w:val="20"/>
              <w:spacing w:after="0" w:line="240" w:lineRule="auto"/>
              <w:jc w:val="center"/>
              <w:rPr>
                <w:rFonts w:ascii="Times New Roman" w:hAnsi="Times New Roman" w:eastAsiaTheme="minorEastAsia"/>
                <w:szCs w:val="21"/>
              </w:rPr>
            </w:pPr>
            <w:r>
              <w:rPr>
                <w:rFonts w:hint="eastAsia" w:ascii="Times New Roman" w:hAnsi="Times New Roman" w:eastAsiaTheme="minorEastAsia"/>
                <w:szCs w:val="21"/>
              </w:rPr>
              <w:t>2</w:t>
            </w:r>
          </w:p>
        </w:tc>
        <w:tc>
          <w:tcPr>
            <w:tcW w:w="1134" w:type="dxa"/>
            <w:vAlign w:val="center"/>
          </w:tcPr>
          <w:p w14:paraId="17C93215">
            <w:pPr>
              <w:pStyle w:val="20"/>
              <w:spacing w:after="0" w:line="240" w:lineRule="auto"/>
              <w:jc w:val="center"/>
              <w:rPr>
                <w:rFonts w:ascii="Times New Roman" w:hAnsi="Times New Roman" w:eastAsiaTheme="minorEastAsia"/>
                <w:szCs w:val="21"/>
              </w:rPr>
            </w:pPr>
            <w:r>
              <w:rPr>
                <w:rFonts w:hint="eastAsia" w:ascii="Times New Roman" w:hAnsi="Times New Roman" w:eastAsiaTheme="minorEastAsia"/>
                <w:szCs w:val="21"/>
              </w:rPr>
              <w:t>3</w:t>
            </w:r>
          </w:p>
        </w:tc>
        <w:tc>
          <w:tcPr>
            <w:tcW w:w="1276" w:type="dxa"/>
            <w:vMerge w:val="continue"/>
            <w:vAlign w:val="center"/>
          </w:tcPr>
          <w:p w14:paraId="1C930F65">
            <w:pPr>
              <w:pStyle w:val="20"/>
              <w:spacing w:after="0" w:line="240" w:lineRule="auto"/>
              <w:jc w:val="center"/>
              <w:rPr>
                <w:rFonts w:ascii="Times New Roman" w:hAnsi="Times New Roman" w:eastAsiaTheme="minorEastAsia"/>
                <w:szCs w:val="21"/>
              </w:rPr>
            </w:pPr>
          </w:p>
        </w:tc>
        <w:tc>
          <w:tcPr>
            <w:tcW w:w="1417" w:type="dxa"/>
            <w:vMerge w:val="continue"/>
            <w:vAlign w:val="center"/>
          </w:tcPr>
          <w:p w14:paraId="50C25F45">
            <w:pPr>
              <w:pStyle w:val="20"/>
              <w:spacing w:after="0" w:line="240" w:lineRule="auto"/>
              <w:jc w:val="center"/>
              <w:rPr>
                <w:rFonts w:ascii="Times New Roman" w:hAnsi="Times New Roman" w:eastAsiaTheme="minorEastAsia"/>
                <w:szCs w:val="21"/>
              </w:rPr>
            </w:pPr>
          </w:p>
        </w:tc>
        <w:tc>
          <w:tcPr>
            <w:tcW w:w="1552" w:type="dxa"/>
            <w:vMerge w:val="continue"/>
          </w:tcPr>
          <w:p w14:paraId="6E0E6D3F">
            <w:pPr>
              <w:pStyle w:val="20"/>
              <w:spacing w:after="0" w:line="240" w:lineRule="auto"/>
              <w:jc w:val="center"/>
              <w:rPr>
                <w:rFonts w:ascii="Calibri" w:hAnsi="Calibri" w:eastAsiaTheme="minorEastAsia"/>
                <w:szCs w:val="21"/>
              </w:rPr>
            </w:pPr>
          </w:p>
        </w:tc>
      </w:tr>
      <w:tr w14:paraId="5DF6D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1327" w:type="dxa"/>
            <w:vAlign w:val="center"/>
          </w:tcPr>
          <w:p w14:paraId="2F9DC462">
            <w:pPr>
              <w:pStyle w:val="20"/>
              <w:spacing w:after="0" w:line="240" w:lineRule="auto"/>
              <w:jc w:val="center"/>
              <w:rPr>
                <w:rFonts w:ascii="Times New Roman" w:hAnsi="Times New Roman" w:eastAsiaTheme="minorEastAsia"/>
                <w:szCs w:val="21"/>
              </w:rPr>
            </w:pPr>
          </w:p>
        </w:tc>
        <w:tc>
          <w:tcPr>
            <w:tcW w:w="1220" w:type="dxa"/>
            <w:vAlign w:val="center"/>
          </w:tcPr>
          <w:p w14:paraId="5283AD41">
            <w:pPr>
              <w:pStyle w:val="20"/>
              <w:spacing w:after="0" w:line="240" w:lineRule="auto"/>
              <w:jc w:val="center"/>
              <w:rPr>
                <w:rFonts w:ascii="Times New Roman" w:hAnsi="Times New Roman" w:eastAsiaTheme="minorEastAsia"/>
                <w:szCs w:val="21"/>
              </w:rPr>
            </w:pPr>
          </w:p>
        </w:tc>
        <w:tc>
          <w:tcPr>
            <w:tcW w:w="1134" w:type="dxa"/>
            <w:vAlign w:val="center"/>
          </w:tcPr>
          <w:p w14:paraId="209A85A9">
            <w:pPr>
              <w:pStyle w:val="20"/>
              <w:spacing w:after="0" w:line="240" w:lineRule="auto"/>
              <w:jc w:val="center"/>
              <w:rPr>
                <w:rFonts w:ascii="Times New Roman" w:hAnsi="Times New Roman" w:eastAsiaTheme="minorEastAsia"/>
                <w:szCs w:val="21"/>
              </w:rPr>
            </w:pPr>
          </w:p>
        </w:tc>
        <w:tc>
          <w:tcPr>
            <w:tcW w:w="1134" w:type="dxa"/>
            <w:vAlign w:val="center"/>
          </w:tcPr>
          <w:p w14:paraId="63065F36">
            <w:pPr>
              <w:pStyle w:val="20"/>
              <w:spacing w:after="0" w:line="240" w:lineRule="auto"/>
              <w:jc w:val="center"/>
              <w:rPr>
                <w:rFonts w:ascii="Times New Roman" w:hAnsi="Times New Roman" w:eastAsiaTheme="minorEastAsia"/>
                <w:szCs w:val="21"/>
              </w:rPr>
            </w:pPr>
          </w:p>
        </w:tc>
        <w:tc>
          <w:tcPr>
            <w:tcW w:w="1276" w:type="dxa"/>
            <w:vAlign w:val="center"/>
          </w:tcPr>
          <w:p w14:paraId="067F8B03">
            <w:pPr>
              <w:pStyle w:val="20"/>
              <w:spacing w:after="0" w:line="240" w:lineRule="auto"/>
              <w:jc w:val="center"/>
              <w:rPr>
                <w:rFonts w:ascii="Times New Roman" w:hAnsi="Times New Roman" w:eastAsiaTheme="minorEastAsia"/>
                <w:szCs w:val="21"/>
              </w:rPr>
            </w:pPr>
          </w:p>
        </w:tc>
        <w:tc>
          <w:tcPr>
            <w:tcW w:w="1417" w:type="dxa"/>
            <w:vAlign w:val="center"/>
          </w:tcPr>
          <w:p w14:paraId="6604B73F">
            <w:pPr>
              <w:pStyle w:val="20"/>
              <w:spacing w:after="0" w:line="240" w:lineRule="auto"/>
              <w:jc w:val="center"/>
              <w:rPr>
                <w:rFonts w:ascii="Times New Roman" w:hAnsi="Times New Roman" w:eastAsiaTheme="minorEastAsia"/>
                <w:szCs w:val="21"/>
              </w:rPr>
            </w:pPr>
          </w:p>
        </w:tc>
        <w:tc>
          <w:tcPr>
            <w:tcW w:w="1552" w:type="dxa"/>
          </w:tcPr>
          <w:p w14:paraId="26CD4881">
            <w:pPr>
              <w:pStyle w:val="20"/>
              <w:spacing w:after="0" w:line="240" w:lineRule="auto"/>
              <w:jc w:val="center"/>
              <w:rPr>
                <w:rFonts w:ascii="Calibri" w:hAnsi="Calibri" w:eastAsiaTheme="minorEastAsia"/>
                <w:szCs w:val="21"/>
              </w:rPr>
            </w:pPr>
          </w:p>
        </w:tc>
      </w:tr>
    </w:tbl>
    <w:p w14:paraId="2BD48BC7">
      <w:pPr>
        <w:pStyle w:val="20"/>
        <w:spacing w:after="0" w:line="240" w:lineRule="auto"/>
        <w:rPr>
          <w:rFonts w:eastAsiaTheme="minorEastAsia"/>
          <w:sz w:val="24"/>
          <w:szCs w:val="24"/>
        </w:rPr>
      </w:pPr>
    </w:p>
    <w:p w14:paraId="47C06071">
      <w:pPr>
        <w:pStyle w:val="20"/>
        <w:spacing w:after="0" w:line="240" w:lineRule="auto"/>
        <w:rPr>
          <w:rFonts w:eastAsiaTheme="minorEastAsia"/>
          <w:sz w:val="24"/>
          <w:szCs w:val="24"/>
        </w:rPr>
      </w:pPr>
      <w:r>
        <w:rPr>
          <w:rFonts w:eastAsiaTheme="minorEastAsia"/>
          <w:sz w:val="24"/>
          <w:szCs w:val="24"/>
        </w:rPr>
        <w:t>A.</w:t>
      </w:r>
      <w:r>
        <w:rPr>
          <w:rFonts w:hint="eastAsia" w:eastAsiaTheme="minorEastAsia"/>
          <w:sz w:val="24"/>
          <w:szCs w:val="24"/>
        </w:rPr>
        <w:t xml:space="preserve">4 称量示值误差   </w:t>
      </w:r>
    </w:p>
    <w:p w14:paraId="2988B7ED">
      <w:pPr>
        <w:pStyle w:val="20"/>
        <w:spacing w:after="0" w:line="240" w:lineRule="auto"/>
        <w:rPr>
          <w:rFonts w:eastAsiaTheme="minorEastAsia"/>
          <w:szCs w:val="21"/>
        </w:rPr>
      </w:pPr>
    </w:p>
    <w:p w14:paraId="568849D3">
      <w:pPr>
        <w:pStyle w:val="20"/>
        <w:spacing w:after="0" w:line="240" w:lineRule="auto"/>
        <w:rPr>
          <w:rFonts w:eastAsiaTheme="minorEastAsia"/>
          <w:szCs w:val="21"/>
        </w:rPr>
      </w:pPr>
      <w:r>
        <w:rPr>
          <w:rFonts w:hint="eastAsia" w:eastAsiaTheme="minorEastAsia"/>
          <w:szCs w:val="21"/>
        </w:rPr>
        <w:t>分度值</w:t>
      </w:r>
      <w:r>
        <w:rPr>
          <w:rFonts w:hint="eastAsia" w:eastAsiaTheme="minorEastAsia"/>
          <w:i/>
          <w:iCs/>
          <w:szCs w:val="21"/>
        </w:rPr>
        <w:t>d</w:t>
      </w:r>
      <w:r>
        <w:rPr>
          <w:rFonts w:hint="eastAsia" w:eastAsiaTheme="minorEastAsia"/>
          <w:szCs w:val="21"/>
        </w:rPr>
        <w:t xml:space="preserve">=                              </w:t>
      </w:r>
    </w:p>
    <w:tbl>
      <w:tblPr>
        <w:tblStyle w:val="3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8"/>
        <w:gridCol w:w="1965"/>
        <w:gridCol w:w="1787"/>
        <w:gridCol w:w="3226"/>
      </w:tblGrid>
      <w:tr w14:paraId="3A7AD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atLeast"/>
          <w:jc w:val="center"/>
        </w:trPr>
        <w:tc>
          <w:tcPr>
            <w:tcW w:w="1243" w:type="pct"/>
            <w:vAlign w:val="center"/>
          </w:tcPr>
          <w:p w14:paraId="3A76CFD8">
            <w:pPr>
              <w:pStyle w:val="20"/>
              <w:spacing w:after="0" w:line="240" w:lineRule="auto"/>
              <w:jc w:val="center"/>
              <w:rPr>
                <w:rFonts w:ascii="Times New Roman" w:hAnsi="Times New Roman" w:eastAsiaTheme="minorEastAsia"/>
                <w:szCs w:val="21"/>
              </w:rPr>
            </w:pPr>
            <w:bookmarkStart w:id="184" w:name="_Hlk196814131"/>
            <w:r>
              <w:rPr>
                <w:rFonts w:hint="eastAsia" w:ascii="Times New Roman" w:hAnsi="Times New Roman" w:eastAsiaTheme="minorEastAsia"/>
                <w:szCs w:val="21"/>
              </w:rPr>
              <w:t>试验载荷</w:t>
            </w:r>
          </w:p>
        </w:tc>
        <w:tc>
          <w:tcPr>
            <w:tcW w:w="1058" w:type="pct"/>
            <w:vAlign w:val="center"/>
          </w:tcPr>
          <w:p w14:paraId="44000F94">
            <w:pPr>
              <w:pStyle w:val="20"/>
              <w:spacing w:after="0" w:line="240" w:lineRule="auto"/>
              <w:jc w:val="center"/>
              <w:rPr>
                <w:rFonts w:ascii="Times New Roman" w:hAnsi="Times New Roman" w:eastAsiaTheme="minorEastAsia"/>
                <w:szCs w:val="21"/>
              </w:rPr>
            </w:pPr>
            <w:r>
              <w:rPr>
                <w:rFonts w:hint="eastAsia" w:ascii="Times New Roman" w:hAnsi="Times New Roman" w:eastAsiaTheme="minorEastAsia"/>
                <w:szCs w:val="21"/>
              </w:rPr>
              <w:t>示值</w:t>
            </w:r>
          </w:p>
        </w:tc>
        <w:tc>
          <w:tcPr>
            <w:tcW w:w="962" w:type="pct"/>
            <w:vAlign w:val="center"/>
          </w:tcPr>
          <w:p w14:paraId="4831D30F">
            <w:pPr>
              <w:pStyle w:val="20"/>
              <w:spacing w:after="0" w:line="240" w:lineRule="auto"/>
              <w:jc w:val="center"/>
              <w:rPr>
                <w:rFonts w:ascii="Times New Roman" w:hAnsi="Times New Roman" w:eastAsiaTheme="minorEastAsia"/>
                <w:szCs w:val="21"/>
              </w:rPr>
            </w:pPr>
            <w:r>
              <w:rPr>
                <w:rFonts w:hint="eastAsia" w:ascii="Times New Roman" w:hAnsi="Times New Roman" w:eastAsiaTheme="minorEastAsia"/>
                <w:szCs w:val="21"/>
              </w:rPr>
              <w:t>示值</w:t>
            </w:r>
            <w:r>
              <w:rPr>
                <w:rFonts w:ascii="Times New Roman" w:hAnsi="Times New Roman" w:eastAsiaTheme="minorEastAsia"/>
                <w:szCs w:val="21"/>
              </w:rPr>
              <w:t>误差</w:t>
            </w:r>
          </w:p>
        </w:tc>
        <w:tc>
          <w:tcPr>
            <w:tcW w:w="1737" w:type="pct"/>
            <w:vAlign w:val="center"/>
          </w:tcPr>
          <w:p w14:paraId="72F88739">
            <w:pPr>
              <w:pStyle w:val="20"/>
              <w:snapToGrid w:val="0"/>
              <w:spacing w:after="0" w:line="240" w:lineRule="auto"/>
              <w:jc w:val="center"/>
              <w:rPr>
                <w:rFonts w:ascii="Calibri" w:hAnsi="Calibri"/>
                <w:szCs w:val="21"/>
              </w:rPr>
            </w:pPr>
            <w:r>
              <w:rPr>
                <w:rFonts w:ascii="Calibri" w:hAnsi="Calibri"/>
                <w:szCs w:val="21"/>
              </w:rPr>
              <w:t>扩展不确定度</w:t>
            </w:r>
          </w:p>
          <w:p w14:paraId="6D1A6A18">
            <w:pPr>
              <w:pStyle w:val="20"/>
              <w:spacing w:after="0" w:line="240" w:lineRule="auto"/>
              <w:jc w:val="center"/>
              <w:rPr>
                <w:rFonts w:ascii="Times New Roman" w:hAnsi="Times New Roman" w:eastAsiaTheme="minorEastAsia"/>
                <w:szCs w:val="21"/>
              </w:rPr>
            </w:pPr>
            <w:r>
              <w:rPr>
                <w:rFonts w:ascii="Times New Roman" w:hAnsi="Times New Roman"/>
                <w:i/>
                <w:iCs/>
                <w:szCs w:val="21"/>
              </w:rPr>
              <w:t>U</w:t>
            </w:r>
            <w:r>
              <w:rPr>
                <w:rFonts w:ascii="Times New Roman" w:hAnsi="Times New Roman"/>
                <w:szCs w:val="21"/>
              </w:rPr>
              <w:t>（</w:t>
            </w:r>
            <w:r>
              <w:rPr>
                <w:rFonts w:ascii="Times New Roman" w:hAnsi="Times New Roman"/>
                <w:i/>
                <w:iCs/>
                <w:szCs w:val="21"/>
              </w:rPr>
              <w:t>k</w:t>
            </w:r>
            <w:r>
              <w:rPr>
                <w:rFonts w:ascii="Times New Roman" w:hAnsi="Times New Roman"/>
                <w:szCs w:val="21"/>
              </w:rPr>
              <w:t>=2）</w:t>
            </w:r>
          </w:p>
        </w:tc>
      </w:tr>
      <w:bookmarkEnd w:id="184"/>
      <w:tr w14:paraId="2DA9D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1243" w:type="pct"/>
            <w:vAlign w:val="center"/>
          </w:tcPr>
          <w:p w14:paraId="4A05734D">
            <w:pPr>
              <w:pStyle w:val="20"/>
              <w:spacing w:after="0" w:line="240" w:lineRule="auto"/>
              <w:jc w:val="center"/>
              <w:rPr>
                <w:rFonts w:ascii="Times New Roman" w:hAnsi="Times New Roman" w:eastAsiaTheme="minorEastAsia"/>
                <w:szCs w:val="21"/>
              </w:rPr>
            </w:pPr>
          </w:p>
        </w:tc>
        <w:tc>
          <w:tcPr>
            <w:tcW w:w="1058" w:type="pct"/>
            <w:vAlign w:val="center"/>
          </w:tcPr>
          <w:p w14:paraId="5C077EDB">
            <w:pPr>
              <w:pStyle w:val="20"/>
              <w:spacing w:after="0" w:line="240" w:lineRule="auto"/>
              <w:jc w:val="center"/>
              <w:rPr>
                <w:rFonts w:ascii="Times New Roman" w:hAnsi="Times New Roman" w:eastAsiaTheme="minorEastAsia"/>
                <w:szCs w:val="21"/>
              </w:rPr>
            </w:pPr>
          </w:p>
        </w:tc>
        <w:tc>
          <w:tcPr>
            <w:tcW w:w="962" w:type="pct"/>
            <w:vAlign w:val="center"/>
          </w:tcPr>
          <w:p w14:paraId="0E92B802">
            <w:pPr>
              <w:pStyle w:val="20"/>
              <w:spacing w:after="0" w:line="240" w:lineRule="auto"/>
              <w:jc w:val="center"/>
              <w:rPr>
                <w:rFonts w:ascii="Times New Roman" w:hAnsi="Times New Roman" w:eastAsiaTheme="minorEastAsia"/>
                <w:szCs w:val="21"/>
              </w:rPr>
            </w:pPr>
          </w:p>
        </w:tc>
        <w:tc>
          <w:tcPr>
            <w:tcW w:w="1737" w:type="pct"/>
          </w:tcPr>
          <w:p w14:paraId="14570DEB">
            <w:pPr>
              <w:pStyle w:val="20"/>
              <w:spacing w:after="0" w:line="240" w:lineRule="auto"/>
              <w:jc w:val="center"/>
              <w:rPr>
                <w:rFonts w:ascii="Calibri" w:hAnsi="Calibri" w:eastAsiaTheme="minorEastAsia"/>
                <w:szCs w:val="21"/>
              </w:rPr>
            </w:pPr>
          </w:p>
        </w:tc>
      </w:tr>
      <w:tr w14:paraId="40FB9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1243" w:type="pct"/>
            <w:vAlign w:val="center"/>
          </w:tcPr>
          <w:p w14:paraId="05505ADE">
            <w:pPr>
              <w:pStyle w:val="20"/>
              <w:spacing w:after="0" w:line="240" w:lineRule="auto"/>
              <w:jc w:val="center"/>
              <w:rPr>
                <w:rFonts w:ascii="Calibri" w:hAnsi="Calibri" w:eastAsiaTheme="minorEastAsia"/>
                <w:szCs w:val="21"/>
              </w:rPr>
            </w:pPr>
          </w:p>
        </w:tc>
        <w:tc>
          <w:tcPr>
            <w:tcW w:w="1058" w:type="pct"/>
            <w:vAlign w:val="center"/>
          </w:tcPr>
          <w:p w14:paraId="76BABB34">
            <w:pPr>
              <w:pStyle w:val="20"/>
              <w:spacing w:after="0" w:line="240" w:lineRule="auto"/>
              <w:jc w:val="center"/>
              <w:rPr>
                <w:rFonts w:ascii="Calibri" w:hAnsi="Calibri" w:eastAsiaTheme="minorEastAsia"/>
                <w:szCs w:val="21"/>
              </w:rPr>
            </w:pPr>
          </w:p>
        </w:tc>
        <w:tc>
          <w:tcPr>
            <w:tcW w:w="962" w:type="pct"/>
            <w:vAlign w:val="center"/>
          </w:tcPr>
          <w:p w14:paraId="22940F39">
            <w:pPr>
              <w:pStyle w:val="20"/>
              <w:spacing w:after="0" w:line="240" w:lineRule="auto"/>
              <w:jc w:val="center"/>
              <w:rPr>
                <w:rFonts w:ascii="Calibri" w:hAnsi="Calibri" w:eastAsiaTheme="minorEastAsia"/>
                <w:szCs w:val="21"/>
              </w:rPr>
            </w:pPr>
          </w:p>
        </w:tc>
        <w:tc>
          <w:tcPr>
            <w:tcW w:w="1737" w:type="pct"/>
          </w:tcPr>
          <w:p w14:paraId="2518BC46">
            <w:pPr>
              <w:pStyle w:val="20"/>
              <w:spacing w:after="0" w:line="240" w:lineRule="auto"/>
              <w:jc w:val="center"/>
              <w:rPr>
                <w:rFonts w:ascii="Calibri" w:hAnsi="Calibri" w:eastAsiaTheme="minorEastAsia"/>
                <w:szCs w:val="21"/>
              </w:rPr>
            </w:pPr>
          </w:p>
        </w:tc>
      </w:tr>
      <w:tr w14:paraId="45CE6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1243" w:type="pct"/>
            <w:vAlign w:val="center"/>
          </w:tcPr>
          <w:p w14:paraId="757A99C5">
            <w:pPr>
              <w:pStyle w:val="20"/>
              <w:spacing w:after="0" w:line="240" w:lineRule="auto"/>
              <w:jc w:val="center"/>
              <w:rPr>
                <w:rFonts w:ascii="Calibri" w:hAnsi="Calibri" w:eastAsiaTheme="minorEastAsia"/>
                <w:szCs w:val="21"/>
              </w:rPr>
            </w:pPr>
          </w:p>
        </w:tc>
        <w:tc>
          <w:tcPr>
            <w:tcW w:w="1058" w:type="pct"/>
            <w:vAlign w:val="center"/>
          </w:tcPr>
          <w:p w14:paraId="7B6A0543">
            <w:pPr>
              <w:pStyle w:val="20"/>
              <w:spacing w:after="0" w:line="240" w:lineRule="auto"/>
              <w:jc w:val="center"/>
              <w:rPr>
                <w:rFonts w:ascii="Calibri" w:hAnsi="Calibri" w:eastAsiaTheme="minorEastAsia"/>
                <w:szCs w:val="21"/>
              </w:rPr>
            </w:pPr>
          </w:p>
        </w:tc>
        <w:tc>
          <w:tcPr>
            <w:tcW w:w="962" w:type="pct"/>
            <w:vAlign w:val="center"/>
          </w:tcPr>
          <w:p w14:paraId="42F14C01">
            <w:pPr>
              <w:pStyle w:val="20"/>
              <w:spacing w:after="0" w:line="240" w:lineRule="auto"/>
              <w:jc w:val="center"/>
              <w:rPr>
                <w:rFonts w:ascii="Calibri" w:hAnsi="Calibri" w:eastAsiaTheme="minorEastAsia"/>
                <w:szCs w:val="21"/>
              </w:rPr>
            </w:pPr>
          </w:p>
        </w:tc>
        <w:tc>
          <w:tcPr>
            <w:tcW w:w="1737" w:type="pct"/>
          </w:tcPr>
          <w:p w14:paraId="3DFD9F20">
            <w:pPr>
              <w:pStyle w:val="20"/>
              <w:spacing w:after="0" w:line="240" w:lineRule="auto"/>
              <w:jc w:val="center"/>
              <w:rPr>
                <w:rFonts w:ascii="Calibri" w:hAnsi="Calibri" w:eastAsiaTheme="minorEastAsia"/>
                <w:szCs w:val="21"/>
              </w:rPr>
            </w:pPr>
          </w:p>
        </w:tc>
      </w:tr>
      <w:tr w14:paraId="1D27D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1243" w:type="pct"/>
            <w:vAlign w:val="center"/>
          </w:tcPr>
          <w:p w14:paraId="105561AD">
            <w:pPr>
              <w:pStyle w:val="20"/>
              <w:spacing w:after="0" w:line="240" w:lineRule="auto"/>
              <w:jc w:val="center"/>
              <w:rPr>
                <w:rFonts w:ascii="Calibri" w:hAnsi="Calibri" w:eastAsiaTheme="minorEastAsia"/>
                <w:szCs w:val="21"/>
              </w:rPr>
            </w:pPr>
          </w:p>
        </w:tc>
        <w:tc>
          <w:tcPr>
            <w:tcW w:w="1058" w:type="pct"/>
            <w:vAlign w:val="center"/>
          </w:tcPr>
          <w:p w14:paraId="3690E33E">
            <w:pPr>
              <w:pStyle w:val="20"/>
              <w:spacing w:after="0" w:line="240" w:lineRule="auto"/>
              <w:jc w:val="center"/>
              <w:rPr>
                <w:rFonts w:ascii="Calibri" w:hAnsi="Calibri" w:eastAsiaTheme="minorEastAsia"/>
                <w:szCs w:val="21"/>
              </w:rPr>
            </w:pPr>
          </w:p>
        </w:tc>
        <w:tc>
          <w:tcPr>
            <w:tcW w:w="962" w:type="pct"/>
            <w:vAlign w:val="center"/>
          </w:tcPr>
          <w:p w14:paraId="68A04767">
            <w:pPr>
              <w:pStyle w:val="20"/>
              <w:spacing w:after="0" w:line="240" w:lineRule="auto"/>
              <w:jc w:val="center"/>
              <w:rPr>
                <w:rFonts w:ascii="Calibri" w:hAnsi="Calibri" w:eastAsiaTheme="minorEastAsia"/>
                <w:szCs w:val="21"/>
              </w:rPr>
            </w:pPr>
          </w:p>
        </w:tc>
        <w:tc>
          <w:tcPr>
            <w:tcW w:w="1737" w:type="pct"/>
          </w:tcPr>
          <w:p w14:paraId="67E0263D">
            <w:pPr>
              <w:pStyle w:val="20"/>
              <w:spacing w:after="0" w:line="240" w:lineRule="auto"/>
              <w:jc w:val="center"/>
              <w:rPr>
                <w:rFonts w:ascii="Calibri" w:hAnsi="Calibri" w:eastAsiaTheme="minorEastAsia"/>
                <w:szCs w:val="21"/>
              </w:rPr>
            </w:pPr>
          </w:p>
        </w:tc>
      </w:tr>
      <w:tr w14:paraId="0ACB4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1243" w:type="pct"/>
            <w:vAlign w:val="center"/>
          </w:tcPr>
          <w:p w14:paraId="17445271">
            <w:pPr>
              <w:pStyle w:val="20"/>
              <w:spacing w:after="0" w:line="240" w:lineRule="auto"/>
              <w:jc w:val="center"/>
              <w:rPr>
                <w:rFonts w:ascii="Calibri" w:hAnsi="Calibri" w:eastAsiaTheme="minorEastAsia"/>
                <w:szCs w:val="21"/>
              </w:rPr>
            </w:pPr>
          </w:p>
        </w:tc>
        <w:tc>
          <w:tcPr>
            <w:tcW w:w="1058" w:type="pct"/>
            <w:vAlign w:val="center"/>
          </w:tcPr>
          <w:p w14:paraId="331B8148">
            <w:pPr>
              <w:pStyle w:val="20"/>
              <w:spacing w:after="0" w:line="240" w:lineRule="auto"/>
              <w:jc w:val="center"/>
              <w:rPr>
                <w:rFonts w:ascii="Calibri" w:hAnsi="Calibri" w:eastAsiaTheme="minorEastAsia"/>
                <w:szCs w:val="21"/>
              </w:rPr>
            </w:pPr>
          </w:p>
        </w:tc>
        <w:tc>
          <w:tcPr>
            <w:tcW w:w="962" w:type="pct"/>
            <w:vAlign w:val="center"/>
          </w:tcPr>
          <w:p w14:paraId="23660196">
            <w:pPr>
              <w:pStyle w:val="20"/>
              <w:spacing w:after="0" w:line="240" w:lineRule="auto"/>
              <w:jc w:val="center"/>
              <w:rPr>
                <w:rFonts w:ascii="Calibri" w:hAnsi="Calibri" w:eastAsiaTheme="minorEastAsia"/>
                <w:szCs w:val="21"/>
              </w:rPr>
            </w:pPr>
          </w:p>
        </w:tc>
        <w:tc>
          <w:tcPr>
            <w:tcW w:w="1737" w:type="pct"/>
          </w:tcPr>
          <w:p w14:paraId="1B579A68">
            <w:pPr>
              <w:pStyle w:val="20"/>
              <w:spacing w:after="0" w:line="240" w:lineRule="auto"/>
              <w:jc w:val="center"/>
              <w:rPr>
                <w:rFonts w:ascii="Calibri" w:hAnsi="Calibri" w:eastAsiaTheme="minorEastAsia"/>
                <w:szCs w:val="21"/>
              </w:rPr>
            </w:pPr>
          </w:p>
        </w:tc>
      </w:tr>
    </w:tbl>
    <w:p w14:paraId="4EE6D5BC">
      <w:pPr>
        <w:pStyle w:val="20"/>
        <w:spacing w:after="0" w:line="240" w:lineRule="auto"/>
        <w:rPr>
          <w:rFonts w:hint="eastAsia" w:cs="黑体" w:asciiTheme="minorEastAsia" w:hAnsiTheme="minorEastAsia" w:eastAsiaTheme="minorEastAsia"/>
          <w:szCs w:val="21"/>
        </w:rPr>
      </w:pPr>
    </w:p>
    <w:p w14:paraId="229450E4">
      <w:pPr>
        <w:pStyle w:val="20"/>
        <w:spacing w:after="0" w:line="240" w:lineRule="auto"/>
        <w:rPr>
          <w:rFonts w:hint="eastAsia" w:cs="黑体" w:asciiTheme="minorEastAsia" w:hAnsiTheme="minorEastAsia" w:eastAsiaTheme="minorEastAsia"/>
          <w:szCs w:val="21"/>
        </w:rPr>
      </w:pPr>
    </w:p>
    <w:p w14:paraId="48507895">
      <w:pPr>
        <w:pStyle w:val="20"/>
        <w:spacing w:after="0" w:line="240" w:lineRule="auto"/>
        <w:rPr>
          <w:rFonts w:hint="eastAsia" w:cs="黑体" w:asciiTheme="minorEastAsia" w:hAnsiTheme="minorEastAsia" w:eastAsiaTheme="minorEastAsia"/>
          <w:szCs w:val="21"/>
        </w:rPr>
      </w:pPr>
    </w:p>
    <w:p w14:paraId="7E191364">
      <w:pPr>
        <w:pStyle w:val="20"/>
        <w:spacing w:after="0" w:line="240" w:lineRule="auto"/>
        <w:rPr>
          <w:rFonts w:hint="eastAsia" w:cs="黑体" w:asciiTheme="minorEastAsia" w:hAnsiTheme="minorEastAsia" w:eastAsiaTheme="minorEastAsia"/>
          <w:szCs w:val="21"/>
        </w:rPr>
      </w:pPr>
    </w:p>
    <w:p w14:paraId="07CC6F00">
      <w:pPr>
        <w:pStyle w:val="20"/>
        <w:spacing w:after="0" w:line="240" w:lineRule="auto"/>
        <w:rPr>
          <w:rFonts w:hint="eastAsia" w:cs="黑体" w:asciiTheme="minorEastAsia" w:hAnsiTheme="minorEastAsia" w:eastAsiaTheme="minorEastAsia"/>
          <w:szCs w:val="21"/>
        </w:rPr>
      </w:pPr>
    </w:p>
    <w:p w14:paraId="46E486A8">
      <w:pPr>
        <w:pStyle w:val="20"/>
        <w:spacing w:after="0" w:line="240" w:lineRule="auto"/>
        <w:rPr>
          <w:rFonts w:hint="eastAsia" w:cs="黑体" w:asciiTheme="minorEastAsia" w:hAnsiTheme="minorEastAsia" w:eastAsiaTheme="minorEastAsia"/>
          <w:szCs w:val="21"/>
        </w:rPr>
      </w:pPr>
    </w:p>
    <w:p w14:paraId="0212E27A">
      <w:pPr>
        <w:pStyle w:val="20"/>
        <w:spacing w:after="0" w:line="240" w:lineRule="auto"/>
        <w:rPr>
          <w:rFonts w:hint="eastAsia" w:cs="黑体" w:asciiTheme="minorEastAsia" w:hAnsiTheme="minorEastAsia" w:eastAsiaTheme="minorEastAsia"/>
          <w:szCs w:val="21"/>
        </w:rPr>
      </w:pPr>
    </w:p>
    <w:p w14:paraId="408BD034">
      <w:pPr>
        <w:pStyle w:val="20"/>
        <w:spacing w:after="0" w:line="240" w:lineRule="auto"/>
        <w:rPr>
          <w:rFonts w:hint="eastAsia" w:cs="黑体" w:asciiTheme="minorEastAsia" w:hAnsiTheme="minorEastAsia" w:eastAsiaTheme="minorEastAsia"/>
          <w:szCs w:val="21"/>
        </w:rPr>
      </w:pPr>
    </w:p>
    <w:p w14:paraId="5D78D1F0">
      <w:pPr>
        <w:pStyle w:val="20"/>
        <w:spacing w:after="0" w:line="240" w:lineRule="auto"/>
        <w:rPr>
          <w:rFonts w:hint="eastAsia" w:cs="黑体" w:asciiTheme="minorEastAsia" w:hAnsiTheme="minorEastAsia" w:eastAsiaTheme="minorEastAsia"/>
          <w:szCs w:val="21"/>
        </w:rPr>
      </w:pPr>
    </w:p>
    <w:p w14:paraId="1F53E355">
      <w:pPr>
        <w:pStyle w:val="20"/>
        <w:spacing w:after="0" w:line="240" w:lineRule="auto"/>
        <w:rPr>
          <w:rFonts w:hint="eastAsia" w:cs="黑体" w:asciiTheme="minorEastAsia" w:hAnsiTheme="minorEastAsia" w:eastAsiaTheme="minorEastAsia"/>
          <w:szCs w:val="21"/>
        </w:rPr>
      </w:pPr>
    </w:p>
    <w:p w14:paraId="15F6CAB0">
      <w:pPr>
        <w:pStyle w:val="20"/>
        <w:spacing w:after="0" w:line="240" w:lineRule="auto"/>
        <w:rPr>
          <w:rFonts w:hint="eastAsia" w:cs="黑体" w:asciiTheme="minorEastAsia" w:hAnsiTheme="minorEastAsia" w:eastAsiaTheme="minorEastAsia"/>
          <w:szCs w:val="21"/>
        </w:rPr>
      </w:pPr>
    </w:p>
    <w:p w14:paraId="21A01D05">
      <w:pPr>
        <w:pStyle w:val="20"/>
        <w:spacing w:after="0" w:line="240" w:lineRule="auto"/>
        <w:rPr>
          <w:rFonts w:hint="eastAsia" w:cs="黑体" w:asciiTheme="minorEastAsia" w:hAnsiTheme="minorEastAsia" w:eastAsiaTheme="minorEastAsia"/>
          <w:szCs w:val="21"/>
        </w:rPr>
      </w:pPr>
    </w:p>
    <w:p w14:paraId="1F6A385B">
      <w:pPr>
        <w:pStyle w:val="20"/>
        <w:spacing w:after="0" w:line="240" w:lineRule="auto"/>
        <w:rPr>
          <w:rFonts w:hint="eastAsia" w:cs="黑体" w:asciiTheme="minorEastAsia" w:hAnsiTheme="minorEastAsia" w:eastAsiaTheme="minorEastAsia"/>
          <w:szCs w:val="21"/>
        </w:rPr>
      </w:pPr>
    </w:p>
    <w:p w14:paraId="703CBAEF">
      <w:pPr>
        <w:pStyle w:val="20"/>
        <w:spacing w:after="0" w:line="240" w:lineRule="auto"/>
        <w:rPr>
          <w:rFonts w:hint="eastAsia" w:cs="黑体" w:asciiTheme="minorEastAsia" w:hAnsiTheme="minorEastAsia" w:eastAsiaTheme="minorEastAsia"/>
          <w:szCs w:val="21"/>
        </w:rPr>
      </w:pPr>
    </w:p>
    <w:p w14:paraId="1C805C51">
      <w:pPr>
        <w:pStyle w:val="20"/>
        <w:spacing w:after="0" w:line="240" w:lineRule="auto"/>
        <w:rPr>
          <w:rFonts w:hint="eastAsia" w:cs="黑体" w:asciiTheme="minorEastAsia" w:hAnsiTheme="minorEastAsia" w:eastAsiaTheme="minorEastAsia"/>
          <w:szCs w:val="21"/>
        </w:rPr>
      </w:pPr>
    </w:p>
    <w:p w14:paraId="54CB69B9">
      <w:pPr>
        <w:pStyle w:val="20"/>
        <w:spacing w:after="0" w:line="240" w:lineRule="auto"/>
        <w:rPr>
          <w:rFonts w:hint="eastAsia" w:cs="黑体" w:asciiTheme="minorEastAsia" w:hAnsiTheme="minorEastAsia" w:eastAsiaTheme="minorEastAsia"/>
          <w:szCs w:val="21"/>
        </w:rPr>
      </w:pPr>
    </w:p>
    <w:p w14:paraId="56C7E65E">
      <w:pPr>
        <w:pStyle w:val="20"/>
        <w:spacing w:after="0" w:line="240" w:lineRule="auto"/>
        <w:rPr>
          <w:rFonts w:hint="eastAsia" w:cs="黑体" w:asciiTheme="minorEastAsia" w:hAnsiTheme="minorEastAsia" w:eastAsiaTheme="minorEastAsia"/>
          <w:szCs w:val="21"/>
        </w:rPr>
      </w:pPr>
    </w:p>
    <w:p w14:paraId="3E29B0B2">
      <w:pPr>
        <w:pStyle w:val="20"/>
        <w:spacing w:after="0" w:line="240" w:lineRule="auto"/>
        <w:rPr>
          <w:rFonts w:hint="eastAsia" w:cs="黑体" w:asciiTheme="minorEastAsia" w:hAnsiTheme="minorEastAsia" w:eastAsiaTheme="minorEastAsia"/>
          <w:szCs w:val="21"/>
        </w:rPr>
      </w:pPr>
    </w:p>
    <w:p w14:paraId="37BF18EB">
      <w:pPr>
        <w:pStyle w:val="20"/>
        <w:spacing w:after="0" w:line="240" w:lineRule="auto"/>
        <w:rPr>
          <w:rFonts w:hint="eastAsia" w:cs="黑体" w:asciiTheme="minorEastAsia" w:hAnsiTheme="minorEastAsia" w:eastAsiaTheme="minorEastAsia"/>
          <w:szCs w:val="21"/>
        </w:rPr>
      </w:pPr>
    </w:p>
    <w:p w14:paraId="66EA345E">
      <w:pPr>
        <w:pStyle w:val="20"/>
        <w:spacing w:after="0" w:line="240" w:lineRule="auto"/>
        <w:rPr>
          <w:rFonts w:hint="eastAsia" w:cs="黑体" w:asciiTheme="minorEastAsia" w:hAnsiTheme="minorEastAsia" w:eastAsiaTheme="minorEastAsia"/>
          <w:szCs w:val="21"/>
        </w:rPr>
      </w:pPr>
    </w:p>
    <w:p w14:paraId="68ECA171">
      <w:pPr>
        <w:pStyle w:val="20"/>
        <w:spacing w:after="0" w:line="240" w:lineRule="auto"/>
        <w:rPr>
          <w:rFonts w:hint="eastAsia" w:cs="黑体" w:asciiTheme="minorEastAsia" w:hAnsiTheme="minorEastAsia" w:eastAsiaTheme="minorEastAsia"/>
          <w:szCs w:val="21"/>
        </w:rPr>
      </w:pPr>
    </w:p>
    <w:p w14:paraId="5C769575">
      <w:pPr>
        <w:pStyle w:val="20"/>
        <w:spacing w:after="0" w:line="240" w:lineRule="auto"/>
        <w:rPr>
          <w:rFonts w:hint="eastAsia" w:cs="黑体" w:asciiTheme="minorEastAsia" w:hAnsiTheme="minorEastAsia" w:eastAsiaTheme="minorEastAsia"/>
          <w:szCs w:val="21"/>
        </w:rPr>
      </w:pPr>
    </w:p>
    <w:p w14:paraId="43ADAD3C">
      <w:pPr>
        <w:pStyle w:val="20"/>
        <w:spacing w:after="0" w:line="240" w:lineRule="auto"/>
        <w:rPr>
          <w:rFonts w:hint="eastAsia" w:cs="黑体" w:asciiTheme="minorEastAsia" w:hAnsiTheme="minorEastAsia" w:eastAsiaTheme="minorEastAsia"/>
          <w:szCs w:val="21"/>
        </w:rPr>
      </w:pPr>
    </w:p>
    <w:p w14:paraId="72E3E43B">
      <w:pPr>
        <w:pStyle w:val="20"/>
        <w:spacing w:after="0" w:line="240" w:lineRule="auto"/>
        <w:rPr>
          <w:rFonts w:hint="eastAsia" w:cs="黑体" w:asciiTheme="minorEastAsia" w:hAnsiTheme="minorEastAsia" w:eastAsiaTheme="minorEastAsia"/>
          <w:szCs w:val="21"/>
        </w:rPr>
      </w:pPr>
    </w:p>
    <w:p w14:paraId="5BD019A9">
      <w:pPr>
        <w:pStyle w:val="20"/>
        <w:spacing w:after="0" w:line="240" w:lineRule="auto"/>
        <w:rPr>
          <w:rFonts w:hint="eastAsia" w:cs="黑体" w:asciiTheme="minorEastAsia" w:hAnsiTheme="minorEastAsia" w:eastAsiaTheme="minorEastAsia"/>
          <w:szCs w:val="21"/>
        </w:rPr>
      </w:pPr>
    </w:p>
    <w:p w14:paraId="15CD2B05">
      <w:pPr>
        <w:pStyle w:val="20"/>
        <w:spacing w:after="0" w:line="240" w:lineRule="auto"/>
        <w:rPr>
          <w:rFonts w:hint="eastAsia" w:cs="黑体" w:asciiTheme="minorEastAsia" w:hAnsiTheme="minorEastAsia" w:eastAsiaTheme="minorEastAsia"/>
          <w:szCs w:val="21"/>
        </w:rPr>
      </w:pPr>
    </w:p>
    <w:p w14:paraId="05C26816">
      <w:pPr>
        <w:pStyle w:val="20"/>
        <w:spacing w:after="0" w:line="240" w:lineRule="auto"/>
        <w:rPr>
          <w:rFonts w:hint="eastAsia" w:cs="黑体" w:asciiTheme="minorEastAsia" w:hAnsiTheme="minorEastAsia" w:eastAsiaTheme="minorEastAsia"/>
          <w:szCs w:val="21"/>
        </w:rPr>
      </w:pPr>
    </w:p>
    <w:p w14:paraId="24240E43">
      <w:pPr>
        <w:pStyle w:val="20"/>
        <w:spacing w:after="0" w:line="240" w:lineRule="auto"/>
        <w:rPr>
          <w:rFonts w:hint="eastAsia" w:cs="黑体" w:asciiTheme="minorEastAsia" w:hAnsiTheme="minorEastAsia" w:eastAsiaTheme="minorEastAsia"/>
          <w:szCs w:val="21"/>
        </w:rPr>
      </w:pPr>
    </w:p>
    <w:p w14:paraId="77704915">
      <w:pPr>
        <w:pStyle w:val="20"/>
        <w:spacing w:after="0" w:line="240" w:lineRule="auto"/>
        <w:rPr>
          <w:rFonts w:hint="eastAsia" w:cs="黑体" w:asciiTheme="minorEastAsia" w:hAnsiTheme="minorEastAsia" w:eastAsiaTheme="minorEastAsia"/>
          <w:szCs w:val="21"/>
        </w:rPr>
      </w:pPr>
    </w:p>
    <w:p w14:paraId="14555E3A">
      <w:pPr>
        <w:pStyle w:val="20"/>
        <w:spacing w:after="0" w:line="240" w:lineRule="auto"/>
        <w:rPr>
          <w:rFonts w:hint="eastAsia" w:cs="黑体" w:asciiTheme="minorEastAsia" w:hAnsiTheme="minorEastAsia" w:eastAsiaTheme="minorEastAsia"/>
          <w:szCs w:val="21"/>
        </w:rPr>
      </w:pPr>
    </w:p>
    <w:p w14:paraId="2D68EAAE">
      <w:pPr>
        <w:pStyle w:val="20"/>
        <w:spacing w:after="0" w:line="240" w:lineRule="auto"/>
        <w:rPr>
          <w:rFonts w:hint="eastAsia" w:cs="黑体" w:asciiTheme="minorEastAsia" w:hAnsiTheme="minorEastAsia" w:eastAsiaTheme="minorEastAsia"/>
          <w:szCs w:val="21"/>
        </w:rPr>
      </w:pPr>
    </w:p>
    <w:p w14:paraId="7E66D7BC">
      <w:pPr>
        <w:pStyle w:val="20"/>
        <w:spacing w:after="0" w:line="240" w:lineRule="auto"/>
        <w:rPr>
          <w:rFonts w:hint="eastAsia" w:cs="黑体" w:asciiTheme="minorEastAsia" w:hAnsiTheme="minorEastAsia" w:eastAsiaTheme="minorEastAsia"/>
          <w:szCs w:val="21"/>
        </w:rPr>
      </w:pPr>
    </w:p>
    <w:p w14:paraId="05C019FF">
      <w:pPr>
        <w:pStyle w:val="20"/>
        <w:spacing w:after="0" w:line="240" w:lineRule="auto"/>
        <w:rPr>
          <w:rFonts w:hint="eastAsia" w:cs="黑体" w:asciiTheme="minorEastAsia" w:hAnsiTheme="minorEastAsia" w:eastAsiaTheme="minorEastAsia"/>
          <w:szCs w:val="21"/>
        </w:rPr>
      </w:pPr>
    </w:p>
    <w:p w14:paraId="64901400">
      <w:pPr>
        <w:pStyle w:val="20"/>
        <w:spacing w:after="0" w:line="240" w:lineRule="auto"/>
        <w:rPr>
          <w:rFonts w:hint="eastAsia" w:cs="黑体" w:asciiTheme="minorEastAsia" w:hAnsiTheme="minorEastAsia" w:eastAsiaTheme="minorEastAsia"/>
          <w:szCs w:val="21"/>
        </w:rPr>
      </w:pPr>
    </w:p>
    <w:p w14:paraId="76C3694B">
      <w:pPr>
        <w:pStyle w:val="20"/>
        <w:spacing w:after="0" w:line="240" w:lineRule="auto"/>
        <w:rPr>
          <w:rFonts w:hint="eastAsia" w:cs="黑体" w:asciiTheme="minorEastAsia" w:hAnsiTheme="minorEastAsia" w:eastAsiaTheme="minorEastAsia"/>
          <w:szCs w:val="21"/>
        </w:rPr>
      </w:pPr>
    </w:p>
    <w:p w14:paraId="40FCAC7E">
      <w:pPr>
        <w:pStyle w:val="20"/>
        <w:spacing w:after="0" w:line="240" w:lineRule="auto"/>
        <w:rPr>
          <w:rFonts w:hint="eastAsia" w:cs="黑体" w:asciiTheme="minorEastAsia" w:hAnsiTheme="minorEastAsia" w:eastAsiaTheme="minorEastAsia"/>
          <w:szCs w:val="21"/>
        </w:rPr>
      </w:pPr>
    </w:p>
    <w:p w14:paraId="16698F65">
      <w:pPr>
        <w:pStyle w:val="146"/>
        <w:spacing w:line="300" w:lineRule="auto"/>
        <w:jc w:val="left"/>
        <w:rPr>
          <w:rFonts w:ascii="Times New Roman"/>
          <w:color w:val="000000"/>
          <w:sz w:val="28"/>
          <w:szCs w:val="28"/>
        </w:rPr>
      </w:pPr>
      <w:bookmarkStart w:id="185" w:name="_Toc73367163"/>
      <w:bookmarkStart w:id="186" w:name="_Toc26377"/>
      <w:bookmarkStart w:id="187" w:name="_Toc18781"/>
      <w:bookmarkStart w:id="188" w:name="_Toc10581"/>
      <w:bookmarkStart w:id="189" w:name="_Toc99635398"/>
      <w:bookmarkStart w:id="190" w:name="_Toc25426"/>
      <w:bookmarkStart w:id="191" w:name="_Toc15597"/>
      <w:bookmarkStart w:id="192" w:name="_Toc196840022"/>
      <w:r>
        <w:rPr>
          <w:rFonts w:hint="eastAsia" w:ascii="Times New Roman"/>
          <w:color w:val="000000"/>
          <w:sz w:val="28"/>
          <w:szCs w:val="28"/>
        </w:rPr>
        <w:t>附录</w:t>
      </w:r>
      <w:bookmarkEnd w:id="185"/>
      <w:bookmarkEnd w:id="186"/>
      <w:bookmarkEnd w:id="187"/>
      <w:bookmarkEnd w:id="188"/>
      <w:r>
        <w:rPr>
          <w:rFonts w:hint="eastAsia" w:ascii="Times New Roman"/>
          <w:color w:val="000000"/>
          <w:sz w:val="28"/>
          <w:szCs w:val="28"/>
        </w:rPr>
        <w:t>B</w:t>
      </w:r>
      <w:bookmarkEnd w:id="189"/>
      <w:bookmarkEnd w:id="190"/>
      <w:bookmarkEnd w:id="191"/>
      <w:bookmarkEnd w:id="192"/>
    </w:p>
    <w:p w14:paraId="6AAED7C7">
      <w:pPr>
        <w:spacing w:line="360" w:lineRule="auto"/>
        <w:jc w:val="center"/>
        <w:rPr>
          <w:rFonts w:hint="eastAsia" w:ascii="黑体" w:hAnsi="黑体" w:eastAsia="黑体" w:cs="黑体"/>
          <w:sz w:val="28"/>
          <w:szCs w:val="28"/>
        </w:rPr>
      </w:pPr>
      <w:bookmarkStart w:id="193" w:name="_Toc8050"/>
      <w:bookmarkStart w:id="194" w:name="_Toc24317"/>
      <w:bookmarkStart w:id="195" w:name="_Toc28316"/>
      <w:bookmarkStart w:id="196" w:name="_Toc551"/>
      <w:bookmarkStart w:id="197" w:name="_Toc12375"/>
      <w:bookmarkStart w:id="198" w:name="_Toc5735"/>
      <w:r>
        <w:rPr>
          <w:rFonts w:hint="eastAsia" w:ascii="黑体" w:hAnsi="黑体" w:eastAsia="黑体" w:cs="黑体"/>
          <w:sz w:val="28"/>
          <w:szCs w:val="28"/>
        </w:rPr>
        <w:t>校准证书（内页）参考格式</w:t>
      </w:r>
      <w:bookmarkEnd w:id="193"/>
      <w:bookmarkEnd w:id="194"/>
      <w:bookmarkEnd w:id="195"/>
      <w:bookmarkEnd w:id="196"/>
      <w:bookmarkEnd w:id="197"/>
      <w:bookmarkEnd w:id="198"/>
    </w:p>
    <w:tbl>
      <w:tblPr>
        <w:tblStyle w:val="3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20"/>
        <w:gridCol w:w="1450"/>
        <w:gridCol w:w="1570"/>
        <w:gridCol w:w="3020"/>
      </w:tblGrid>
      <w:tr w14:paraId="32E43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Align w:val="center"/>
          </w:tcPr>
          <w:p w14:paraId="6967A579">
            <w:pPr>
              <w:pStyle w:val="20"/>
              <w:snapToGrid w:val="0"/>
              <w:spacing w:after="0" w:line="240" w:lineRule="auto"/>
              <w:jc w:val="center"/>
              <w:rPr>
                <w:rFonts w:ascii="Calibri" w:hAnsi="Calibri" w:eastAsiaTheme="minorEastAsia"/>
                <w:szCs w:val="21"/>
              </w:rPr>
            </w:pPr>
            <w:bookmarkStart w:id="199" w:name="OLE_LINK20"/>
            <w:r>
              <w:rPr>
                <w:rFonts w:hint="eastAsia" w:ascii="Calibri" w:hAnsi="Calibri" w:eastAsiaTheme="minorEastAsia"/>
                <w:szCs w:val="21"/>
              </w:rPr>
              <w:t>校准项目</w:t>
            </w:r>
          </w:p>
        </w:tc>
        <w:tc>
          <w:tcPr>
            <w:tcW w:w="3020" w:type="dxa"/>
            <w:gridSpan w:val="2"/>
            <w:vAlign w:val="center"/>
          </w:tcPr>
          <w:p w14:paraId="48441508">
            <w:pPr>
              <w:pStyle w:val="20"/>
              <w:snapToGrid w:val="0"/>
              <w:spacing w:after="0" w:line="240" w:lineRule="auto"/>
              <w:jc w:val="center"/>
              <w:rPr>
                <w:rFonts w:ascii="Calibri" w:hAnsi="Calibri" w:eastAsiaTheme="minorEastAsia"/>
                <w:szCs w:val="21"/>
              </w:rPr>
            </w:pPr>
            <w:r>
              <w:rPr>
                <w:rFonts w:hint="eastAsia" w:ascii="Calibri" w:hAnsi="Calibri" w:eastAsiaTheme="minorEastAsia"/>
                <w:szCs w:val="21"/>
              </w:rPr>
              <w:t>校准结果</w:t>
            </w:r>
          </w:p>
        </w:tc>
        <w:tc>
          <w:tcPr>
            <w:tcW w:w="3020" w:type="dxa"/>
            <w:vAlign w:val="center"/>
          </w:tcPr>
          <w:p w14:paraId="76E7BA55">
            <w:pPr>
              <w:pStyle w:val="20"/>
              <w:snapToGrid w:val="0"/>
              <w:spacing w:after="0" w:line="240" w:lineRule="auto"/>
              <w:jc w:val="center"/>
              <w:rPr>
                <w:rFonts w:ascii="Calibri" w:hAnsi="Calibri" w:eastAsiaTheme="minorEastAsia"/>
                <w:szCs w:val="21"/>
              </w:rPr>
            </w:pPr>
            <w:r>
              <w:rPr>
                <w:rFonts w:ascii="Calibri" w:hAnsi="Calibri"/>
                <w:szCs w:val="21"/>
              </w:rPr>
              <w:t>扩展不确定度</w:t>
            </w:r>
            <w:r>
              <w:rPr>
                <w:rFonts w:ascii="Times New Roman" w:hAnsi="Times New Roman"/>
                <w:i/>
                <w:iCs/>
                <w:szCs w:val="21"/>
              </w:rPr>
              <w:t>U</w:t>
            </w:r>
            <w:r>
              <w:rPr>
                <w:rFonts w:ascii="Times New Roman" w:hAnsi="Times New Roman"/>
                <w:szCs w:val="21"/>
              </w:rPr>
              <w:t>（</w:t>
            </w:r>
            <w:r>
              <w:rPr>
                <w:rFonts w:ascii="Times New Roman" w:hAnsi="Times New Roman"/>
                <w:i/>
                <w:iCs/>
                <w:szCs w:val="21"/>
              </w:rPr>
              <w:t>k</w:t>
            </w:r>
            <w:r>
              <w:rPr>
                <w:rFonts w:ascii="Times New Roman" w:hAnsi="Times New Roman"/>
                <w:szCs w:val="21"/>
              </w:rPr>
              <w:t>=2）</w:t>
            </w:r>
          </w:p>
        </w:tc>
      </w:tr>
      <w:tr w14:paraId="35FC5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Align w:val="center"/>
          </w:tcPr>
          <w:p w14:paraId="77B8789E">
            <w:pPr>
              <w:pStyle w:val="20"/>
              <w:snapToGrid w:val="0"/>
              <w:spacing w:after="0" w:line="240" w:lineRule="auto"/>
              <w:jc w:val="center"/>
              <w:rPr>
                <w:rFonts w:ascii="Calibri" w:hAnsi="Calibri" w:eastAsiaTheme="minorEastAsia"/>
                <w:szCs w:val="21"/>
              </w:rPr>
            </w:pPr>
            <w:r>
              <w:rPr>
                <w:rFonts w:hint="eastAsia" w:ascii="Calibri" w:hAnsi="Calibri" w:eastAsiaTheme="minorEastAsia"/>
                <w:szCs w:val="21"/>
              </w:rPr>
              <w:t>循环水浴温度示值误差</w:t>
            </w:r>
          </w:p>
        </w:tc>
        <w:tc>
          <w:tcPr>
            <w:tcW w:w="3020" w:type="dxa"/>
            <w:gridSpan w:val="2"/>
            <w:vAlign w:val="center"/>
          </w:tcPr>
          <w:p w14:paraId="7AF83A22">
            <w:pPr>
              <w:pStyle w:val="20"/>
              <w:snapToGrid w:val="0"/>
              <w:spacing w:after="0" w:line="240" w:lineRule="auto"/>
              <w:jc w:val="center"/>
              <w:rPr>
                <w:rFonts w:ascii="Calibri" w:hAnsi="Calibri" w:eastAsiaTheme="minorEastAsia"/>
                <w:szCs w:val="21"/>
              </w:rPr>
            </w:pPr>
          </w:p>
        </w:tc>
        <w:tc>
          <w:tcPr>
            <w:tcW w:w="3020" w:type="dxa"/>
            <w:vAlign w:val="center"/>
          </w:tcPr>
          <w:p w14:paraId="1FDB2A8E">
            <w:pPr>
              <w:pStyle w:val="20"/>
              <w:snapToGrid w:val="0"/>
              <w:spacing w:after="0" w:line="240" w:lineRule="auto"/>
              <w:jc w:val="center"/>
              <w:rPr>
                <w:rFonts w:ascii="Calibri" w:hAnsi="Calibri" w:eastAsiaTheme="minorEastAsia"/>
                <w:szCs w:val="21"/>
              </w:rPr>
            </w:pPr>
          </w:p>
        </w:tc>
      </w:tr>
      <w:tr w14:paraId="4FA77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Align w:val="center"/>
          </w:tcPr>
          <w:p w14:paraId="2D48AC3D">
            <w:pPr>
              <w:pStyle w:val="20"/>
              <w:snapToGrid w:val="0"/>
              <w:spacing w:after="0" w:line="240" w:lineRule="auto"/>
              <w:jc w:val="center"/>
              <w:rPr>
                <w:rFonts w:ascii="Calibri" w:hAnsi="Calibri" w:eastAsiaTheme="minorEastAsia"/>
                <w:szCs w:val="21"/>
              </w:rPr>
            </w:pPr>
            <w:r>
              <w:rPr>
                <w:rFonts w:hint="eastAsia" w:ascii="Calibri" w:hAnsi="Calibri" w:eastAsiaTheme="minorEastAsia"/>
                <w:szCs w:val="21"/>
              </w:rPr>
              <w:t>空气温度示值误差</w:t>
            </w:r>
          </w:p>
        </w:tc>
        <w:tc>
          <w:tcPr>
            <w:tcW w:w="3020" w:type="dxa"/>
            <w:gridSpan w:val="2"/>
            <w:vAlign w:val="center"/>
          </w:tcPr>
          <w:p w14:paraId="58046A43">
            <w:pPr>
              <w:pStyle w:val="20"/>
              <w:snapToGrid w:val="0"/>
              <w:spacing w:after="0" w:line="240" w:lineRule="auto"/>
              <w:jc w:val="center"/>
              <w:rPr>
                <w:rFonts w:ascii="Calibri" w:hAnsi="Calibri" w:eastAsiaTheme="minorEastAsia"/>
                <w:szCs w:val="21"/>
              </w:rPr>
            </w:pPr>
          </w:p>
        </w:tc>
        <w:tc>
          <w:tcPr>
            <w:tcW w:w="3020" w:type="dxa"/>
            <w:vAlign w:val="center"/>
          </w:tcPr>
          <w:p w14:paraId="3C6D7ED5">
            <w:pPr>
              <w:pStyle w:val="20"/>
              <w:snapToGrid w:val="0"/>
              <w:spacing w:after="0" w:line="240" w:lineRule="auto"/>
              <w:jc w:val="center"/>
              <w:rPr>
                <w:rFonts w:ascii="Calibri" w:hAnsi="Calibri" w:eastAsiaTheme="minorEastAsia"/>
                <w:szCs w:val="21"/>
              </w:rPr>
            </w:pPr>
          </w:p>
        </w:tc>
      </w:tr>
      <w:tr w14:paraId="525D5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Align w:val="center"/>
          </w:tcPr>
          <w:p w14:paraId="66F9D304">
            <w:pPr>
              <w:pStyle w:val="20"/>
              <w:snapToGrid w:val="0"/>
              <w:spacing w:after="0" w:line="240" w:lineRule="auto"/>
              <w:jc w:val="center"/>
              <w:rPr>
                <w:rFonts w:ascii="Calibri" w:hAnsi="Calibri" w:eastAsiaTheme="minorEastAsia"/>
                <w:szCs w:val="21"/>
              </w:rPr>
            </w:pPr>
            <w:r>
              <w:rPr>
                <w:rFonts w:hint="eastAsia" w:ascii="Calibri" w:hAnsi="Calibri" w:eastAsiaTheme="minorEastAsia"/>
                <w:szCs w:val="21"/>
              </w:rPr>
              <w:t>压力示值误差</w:t>
            </w:r>
          </w:p>
        </w:tc>
        <w:tc>
          <w:tcPr>
            <w:tcW w:w="3020" w:type="dxa"/>
            <w:gridSpan w:val="2"/>
            <w:vAlign w:val="center"/>
          </w:tcPr>
          <w:p w14:paraId="19213D36">
            <w:pPr>
              <w:pStyle w:val="20"/>
              <w:snapToGrid w:val="0"/>
              <w:spacing w:after="0" w:line="240" w:lineRule="auto"/>
              <w:jc w:val="center"/>
              <w:rPr>
                <w:rFonts w:ascii="Calibri" w:hAnsi="Calibri" w:eastAsiaTheme="minorEastAsia"/>
                <w:szCs w:val="21"/>
              </w:rPr>
            </w:pPr>
          </w:p>
        </w:tc>
        <w:tc>
          <w:tcPr>
            <w:tcW w:w="3020" w:type="dxa"/>
            <w:vAlign w:val="center"/>
          </w:tcPr>
          <w:p w14:paraId="2B3604A7">
            <w:pPr>
              <w:pStyle w:val="20"/>
              <w:snapToGrid w:val="0"/>
              <w:spacing w:after="0" w:line="240" w:lineRule="auto"/>
              <w:jc w:val="center"/>
              <w:rPr>
                <w:rFonts w:ascii="Calibri" w:hAnsi="Calibri" w:eastAsiaTheme="minorEastAsia"/>
                <w:szCs w:val="21"/>
              </w:rPr>
            </w:pPr>
          </w:p>
        </w:tc>
      </w:tr>
      <w:tr w14:paraId="7E285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Merge w:val="restart"/>
            <w:vAlign w:val="center"/>
          </w:tcPr>
          <w:p w14:paraId="6118558D">
            <w:pPr>
              <w:pStyle w:val="20"/>
              <w:snapToGrid w:val="0"/>
              <w:spacing w:after="0" w:line="240" w:lineRule="auto"/>
              <w:jc w:val="center"/>
              <w:rPr>
                <w:rFonts w:ascii="Calibri" w:hAnsi="Calibri" w:eastAsiaTheme="minorEastAsia"/>
                <w:szCs w:val="21"/>
              </w:rPr>
            </w:pPr>
            <w:r>
              <w:rPr>
                <w:rFonts w:hint="eastAsia" w:ascii="Calibri" w:hAnsi="Calibri" w:eastAsiaTheme="minorEastAsia"/>
                <w:szCs w:val="21"/>
              </w:rPr>
              <w:t>称量示值误差</w:t>
            </w:r>
          </w:p>
        </w:tc>
        <w:tc>
          <w:tcPr>
            <w:tcW w:w="1450" w:type="dxa"/>
            <w:tcBorders>
              <w:right w:val="single" w:color="auto" w:sz="4" w:space="0"/>
            </w:tcBorders>
            <w:vAlign w:val="center"/>
          </w:tcPr>
          <w:p w14:paraId="7D96FCE0">
            <w:pPr>
              <w:pStyle w:val="20"/>
              <w:snapToGrid w:val="0"/>
              <w:spacing w:after="0" w:line="240" w:lineRule="auto"/>
              <w:jc w:val="center"/>
              <w:rPr>
                <w:rFonts w:ascii="Calibri" w:hAnsi="Calibri" w:eastAsiaTheme="minorEastAsia"/>
                <w:szCs w:val="21"/>
              </w:rPr>
            </w:pPr>
            <w:r>
              <w:rPr>
                <w:rFonts w:hint="eastAsia" w:ascii="Calibri" w:hAnsi="Calibri" w:eastAsiaTheme="minorEastAsia"/>
                <w:szCs w:val="21"/>
              </w:rPr>
              <w:t>试验载荷</w:t>
            </w:r>
          </w:p>
        </w:tc>
        <w:tc>
          <w:tcPr>
            <w:tcW w:w="1570" w:type="dxa"/>
            <w:tcBorders>
              <w:left w:val="single" w:color="auto" w:sz="4" w:space="0"/>
            </w:tcBorders>
            <w:vAlign w:val="center"/>
          </w:tcPr>
          <w:p w14:paraId="36DD8536">
            <w:pPr>
              <w:pStyle w:val="20"/>
              <w:snapToGrid w:val="0"/>
              <w:spacing w:after="0" w:line="240" w:lineRule="auto"/>
              <w:jc w:val="center"/>
              <w:rPr>
                <w:rFonts w:ascii="Calibri" w:hAnsi="Calibri" w:eastAsiaTheme="minorEastAsia"/>
                <w:szCs w:val="21"/>
              </w:rPr>
            </w:pPr>
            <w:r>
              <w:rPr>
                <w:rFonts w:hint="eastAsia" w:ascii="Times New Roman" w:hAnsi="Times New Roman" w:eastAsiaTheme="minorEastAsia"/>
                <w:szCs w:val="21"/>
              </w:rPr>
              <w:t>示值</w:t>
            </w:r>
            <w:r>
              <w:rPr>
                <w:rFonts w:ascii="Times New Roman" w:hAnsi="Times New Roman" w:eastAsiaTheme="minorEastAsia"/>
                <w:szCs w:val="21"/>
              </w:rPr>
              <w:t>误差</w:t>
            </w:r>
          </w:p>
        </w:tc>
        <w:tc>
          <w:tcPr>
            <w:tcW w:w="3020" w:type="dxa"/>
            <w:vAlign w:val="center"/>
          </w:tcPr>
          <w:p w14:paraId="24702AD7">
            <w:pPr>
              <w:pStyle w:val="20"/>
              <w:snapToGrid w:val="0"/>
              <w:spacing w:after="0" w:line="240" w:lineRule="auto"/>
              <w:jc w:val="center"/>
              <w:rPr>
                <w:rFonts w:ascii="Calibri" w:hAnsi="Calibri" w:eastAsiaTheme="minorEastAsia"/>
                <w:szCs w:val="21"/>
              </w:rPr>
            </w:pPr>
          </w:p>
        </w:tc>
      </w:tr>
      <w:tr w14:paraId="08BBF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Merge w:val="continue"/>
            <w:vAlign w:val="center"/>
          </w:tcPr>
          <w:p w14:paraId="6BCD40B9">
            <w:pPr>
              <w:pStyle w:val="20"/>
              <w:snapToGrid w:val="0"/>
              <w:spacing w:after="0" w:line="240" w:lineRule="auto"/>
              <w:jc w:val="center"/>
              <w:rPr>
                <w:rFonts w:ascii="Calibri" w:hAnsi="Calibri" w:eastAsiaTheme="minorEastAsia"/>
                <w:szCs w:val="21"/>
              </w:rPr>
            </w:pPr>
          </w:p>
        </w:tc>
        <w:tc>
          <w:tcPr>
            <w:tcW w:w="1450" w:type="dxa"/>
            <w:tcBorders>
              <w:right w:val="single" w:color="auto" w:sz="4" w:space="0"/>
            </w:tcBorders>
            <w:vAlign w:val="center"/>
          </w:tcPr>
          <w:p w14:paraId="3C38E388">
            <w:pPr>
              <w:pStyle w:val="20"/>
              <w:snapToGrid w:val="0"/>
              <w:spacing w:after="0" w:line="240" w:lineRule="auto"/>
              <w:jc w:val="center"/>
              <w:rPr>
                <w:rFonts w:ascii="Calibri" w:hAnsi="Calibri" w:eastAsiaTheme="minorEastAsia"/>
                <w:szCs w:val="21"/>
              </w:rPr>
            </w:pPr>
          </w:p>
        </w:tc>
        <w:tc>
          <w:tcPr>
            <w:tcW w:w="1570" w:type="dxa"/>
            <w:tcBorders>
              <w:left w:val="single" w:color="auto" w:sz="4" w:space="0"/>
            </w:tcBorders>
            <w:vAlign w:val="center"/>
          </w:tcPr>
          <w:p w14:paraId="4E423142">
            <w:pPr>
              <w:pStyle w:val="20"/>
              <w:snapToGrid w:val="0"/>
              <w:spacing w:after="0" w:line="240" w:lineRule="auto"/>
              <w:jc w:val="center"/>
              <w:rPr>
                <w:rFonts w:ascii="Calibri" w:hAnsi="Calibri" w:eastAsiaTheme="minorEastAsia"/>
                <w:szCs w:val="21"/>
              </w:rPr>
            </w:pPr>
          </w:p>
        </w:tc>
        <w:tc>
          <w:tcPr>
            <w:tcW w:w="3020" w:type="dxa"/>
            <w:vAlign w:val="center"/>
          </w:tcPr>
          <w:p w14:paraId="6D7DA8A7">
            <w:pPr>
              <w:pStyle w:val="20"/>
              <w:snapToGrid w:val="0"/>
              <w:spacing w:after="0" w:line="240" w:lineRule="auto"/>
              <w:jc w:val="center"/>
              <w:rPr>
                <w:rFonts w:ascii="Calibri" w:hAnsi="Calibri" w:eastAsiaTheme="minorEastAsia"/>
                <w:szCs w:val="21"/>
              </w:rPr>
            </w:pPr>
          </w:p>
        </w:tc>
      </w:tr>
      <w:tr w14:paraId="02E96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Merge w:val="continue"/>
            <w:vAlign w:val="center"/>
          </w:tcPr>
          <w:p w14:paraId="2EEA117C">
            <w:pPr>
              <w:pStyle w:val="20"/>
              <w:snapToGrid w:val="0"/>
              <w:spacing w:after="0" w:line="240" w:lineRule="auto"/>
              <w:jc w:val="center"/>
              <w:rPr>
                <w:rFonts w:ascii="Calibri" w:hAnsi="Calibri" w:eastAsiaTheme="minorEastAsia"/>
                <w:szCs w:val="21"/>
              </w:rPr>
            </w:pPr>
          </w:p>
        </w:tc>
        <w:tc>
          <w:tcPr>
            <w:tcW w:w="1450" w:type="dxa"/>
            <w:tcBorders>
              <w:right w:val="single" w:color="auto" w:sz="4" w:space="0"/>
            </w:tcBorders>
            <w:vAlign w:val="center"/>
          </w:tcPr>
          <w:p w14:paraId="64AD949E">
            <w:pPr>
              <w:pStyle w:val="20"/>
              <w:snapToGrid w:val="0"/>
              <w:spacing w:after="0" w:line="240" w:lineRule="auto"/>
              <w:jc w:val="center"/>
              <w:rPr>
                <w:rFonts w:ascii="Calibri" w:hAnsi="Calibri" w:eastAsiaTheme="minorEastAsia"/>
                <w:szCs w:val="21"/>
              </w:rPr>
            </w:pPr>
          </w:p>
        </w:tc>
        <w:tc>
          <w:tcPr>
            <w:tcW w:w="1570" w:type="dxa"/>
            <w:tcBorders>
              <w:left w:val="single" w:color="auto" w:sz="4" w:space="0"/>
            </w:tcBorders>
            <w:vAlign w:val="center"/>
          </w:tcPr>
          <w:p w14:paraId="3E008F06">
            <w:pPr>
              <w:pStyle w:val="20"/>
              <w:snapToGrid w:val="0"/>
              <w:spacing w:after="0" w:line="240" w:lineRule="auto"/>
              <w:jc w:val="center"/>
              <w:rPr>
                <w:rFonts w:ascii="Calibri" w:hAnsi="Calibri" w:eastAsiaTheme="minorEastAsia"/>
                <w:szCs w:val="21"/>
              </w:rPr>
            </w:pPr>
          </w:p>
        </w:tc>
        <w:tc>
          <w:tcPr>
            <w:tcW w:w="3020" w:type="dxa"/>
            <w:vAlign w:val="center"/>
          </w:tcPr>
          <w:p w14:paraId="722B51AE">
            <w:pPr>
              <w:pStyle w:val="20"/>
              <w:snapToGrid w:val="0"/>
              <w:spacing w:after="0" w:line="240" w:lineRule="auto"/>
              <w:jc w:val="center"/>
              <w:rPr>
                <w:rFonts w:ascii="Calibri" w:hAnsi="Calibri" w:eastAsiaTheme="minorEastAsia"/>
                <w:szCs w:val="21"/>
              </w:rPr>
            </w:pPr>
          </w:p>
        </w:tc>
      </w:tr>
      <w:tr w14:paraId="50F45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Merge w:val="continue"/>
            <w:vAlign w:val="center"/>
          </w:tcPr>
          <w:p w14:paraId="4F893B5D">
            <w:pPr>
              <w:pStyle w:val="20"/>
              <w:snapToGrid w:val="0"/>
              <w:spacing w:after="0" w:line="240" w:lineRule="auto"/>
              <w:jc w:val="center"/>
              <w:rPr>
                <w:rFonts w:ascii="Calibri" w:hAnsi="Calibri" w:eastAsiaTheme="minorEastAsia"/>
                <w:szCs w:val="21"/>
              </w:rPr>
            </w:pPr>
          </w:p>
        </w:tc>
        <w:tc>
          <w:tcPr>
            <w:tcW w:w="1450" w:type="dxa"/>
            <w:tcBorders>
              <w:right w:val="single" w:color="auto" w:sz="4" w:space="0"/>
            </w:tcBorders>
            <w:vAlign w:val="center"/>
          </w:tcPr>
          <w:p w14:paraId="5EB74D3B">
            <w:pPr>
              <w:pStyle w:val="20"/>
              <w:snapToGrid w:val="0"/>
              <w:spacing w:after="0" w:line="240" w:lineRule="auto"/>
              <w:jc w:val="center"/>
              <w:rPr>
                <w:rFonts w:ascii="Calibri" w:hAnsi="Calibri" w:eastAsiaTheme="minorEastAsia"/>
                <w:szCs w:val="21"/>
              </w:rPr>
            </w:pPr>
          </w:p>
        </w:tc>
        <w:tc>
          <w:tcPr>
            <w:tcW w:w="1570" w:type="dxa"/>
            <w:tcBorders>
              <w:left w:val="single" w:color="auto" w:sz="4" w:space="0"/>
            </w:tcBorders>
            <w:vAlign w:val="center"/>
          </w:tcPr>
          <w:p w14:paraId="24859A88">
            <w:pPr>
              <w:pStyle w:val="20"/>
              <w:snapToGrid w:val="0"/>
              <w:spacing w:after="0" w:line="240" w:lineRule="auto"/>
              <w:jc w:val="center"/>
              <w:rPr>
                <w:rFonts w:ascii="Calibri" w:hAnsi="Calibri" w:eastAsiaTheme="minorEastAsia"/>
                <w:szCs w:val="21"/>
              </w:rPr>
            </w:pPr>
          </w:p>
        </w:tc>
        <w:tc>
          <w:tcPr>
            <w:tcW w:w="3020" w:type="dxa"/>
            <w:vAlign w:val="center"/>
          </w:tcPr>
          <w:p w14:paraId="391AB73C">
            <w:pPr>
              <w:pStyle w:val="20"/>
              <w:snapToGrid w:val="0"/>
              <w:spacing w:after="0" w:line="240" w:lineRule="auto"/>
              <w:jc w:val="center"/>
              <w:rPr>
                <w:rFonts w:ascii="Calibri" w:hAnsi="Calibri" w:eastAsiaTheme="minorEastAsia"/>
                <w:szCs w:val="21"/>
              </w:rPr>
            </w:pPr>
          </w:p>
        </w:tc>
      </w:tr>
      <w:tr w14:paraId="3EC63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Merge w:val="continue"/>
            <w:vAlign w:val="center"/>
          </w:tcPr>
          <w:p w14:paraId="49497AEB">
            <w:pPr>
              <w:pStyle w:val="20"/>
              <w:snapToGrid w:val="0"/>
              <w:spacing w:after="0" w:line="240" w:lineRule="auto"/>
              <w:jc w:val="center"/>
              <w:rPr>
                <w:rFonts w:ascii="Calibri" w:hAnsi="Calibri" w:eastAsiaTheme="minorEastAsia"/>
                <w:szCs w:val="21"/>
              </w:rPr>
            </w:pPr>
          </w:p>
        </w:tc>
        <w:tc>
          <w:tcPr>
            <w:tcW w:w="1450" w:type="dxa"/>
            <w:tcBorders>
              <w:right w:val="single" w:color="auto" w:sz="4" w:space="0"/>
            </w:tcBorders>
            <w:vAlign w:val="center"/>
          </w:tcPr>
          <w:p w14:paraId="22FD720C">
            <w:pPr>
              <w:pStyle w:val="20"/>
              <w:snapToGrid w:val="0"/>
              <w:spacing w:after="0" w:line="240" w:lineRule="auto"/>
              <w:jc w:val="center"/>
              <w:rPr>
                <w:rFonts w:ascii="Calibri" w:hAnsi="Calibri" w:eastAsiaTheme="minorEastAsia"/>
                <w:szCs w:val="21"/>
              </w:rPr>
            </w:pPr>
          </w:p>
        </w:tc>
        <w:tc>
          <w:tcPr>
            <w:tcW w:w="1570" w:type="dxa"/>
            <w:tcBorders>
              <w:left w:val="single" w:color="auto" w:sz="4" w:space="0"/>
            </w:tcBorders>
            <w:vAlign w:val="center"/>
          </w:tcPr>
          <w:p w14:paraId="3ED5B2E0">
            <w:pPr>
              <w:pStyle w:val="20"/>
              <w:snapToGrid w:val="0"/>
              <w:spacing w:after="0" w:line="240" w:lineRule="auto"/>
              <w:jc w:val="center"/>
              <w:rPr>
                <w:rFonts w:ascii="Calibri" w:hAnsi="Calibri" w:eastAsiaTheme="minorEastAsia"/>
                <w:szCs w:val="21"/>
              </w:rPr>
            </w:pPr>
          </w:p>
        </w:tc>
        <w:tc>
          <w:tcPr>
            <w:tcW w:w="3020" w:type="dxa"/>
            <w:vAlign w:val="center"/>
          </w:tcPr>
          <w:p w14:paraId="700D06AE">
            <w:pPr>
              <w:pStyle w:val="20"/>
              <w:snapToGrid w:val="0"/>
              <w:spacing w:after="0" w:line="240" w:lineRule="auto"/>
              <w:jc w:val="center"/>
              <w:rPr>
                <w:rFonts w:ascii="Calibri" w:hAnsi="Calibri" w:eastAsiaTheme="minorEastAsia"/>
                <w:szCs w:val="21"/>
              </w:rPr>
            </w:pPr>
          </w:p>
        </w:tc>
      </w:tr>
      <w:tr w14:paraId="23392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3020" w:type="dxa"/>
            <w:vMerge w:val="continue"/>
            <w:vAlign w:val="center"/>
          </w:tcPr>
          <w:p w14:paraId="32349062">
            <w:pPr>
              <w:pStyle w:val="20"/>
              <w:snapToGrid w:val="0"/>
              <w:spacing w:after="0" w:line="240" w:lineRule="auto"/>
              <w:jc w:val="center"/>
              <w:rPr>
                <w:rFonts w:ascii="Calibri" w:hAnsi="Calibri" w:eastAsiaTheme="minorEastAsia"/>
                <w:szCs w:val="21"/>
              </w:rPr>
            </w:pPr>
          </w:p>
        </w:tc>
        <w:tc>
          <w:tcPr>
            <w:tcW w:w="1450" w:type="dxa"/>
            <w:tcBorders>
              <w:right w:val="single" w:color="auto" w:sz="4" w:space="0"/>
            </w:tcBorders>
            <w:vAlign w:val="center"/>
          </w:tcPr>
          <w:p w14:paraId="2593DF83">
            <w:pPr>
              <w:pStyle w:val="20"/>
              <w:snapToGrid w:val="0"/>
              <w:spacing w:after="0" w:line="240" w:lineRule="auto"/>
              <w:jc w:val="center"/>
              <w:rPr>
                <w:rFonts w:ascii="Calibri" w:hAnsi="Calibri" w:eastAsiaTheme="minorEastAsia"/>
                <w:szCs w:val="21"/>
              </w:rPr>
            </w:pPr>
          </w:p>
        </w:tc>
        <w:tc>
          <w:tcPr>
            <w:tcW w:w="1570" w:type="dxa"/>
            <w:tcBorders>
              <w:left w:val="single" w:color="auto" w:sz="4" w:space="0"/>
            </w:tcBorders>
            <w:vAlign w:val="center"/>
          </w:tcPr>
          <w:p w14:paraId="34F26B40">
            <w:pPr>
              <w:pStyle w:val="20"/>
              <w:snapToGrid w:val="0"/>
              <w:spacing w:after="0" w:line="240" w:lineRule="auto"/>
              <w:jc w:val="center"/>
              <w:rPr>
                <w:rFonts w:ascii="Calibri" w:hAnsi="Calibri" w:eastAsiaTheme="minorEastAsia"/>
                <w:szCs w:val="21"/>
              </w:rPr>
            </w:pPr>
          </w:p>
        </w:tc>
        <w:tc>
          <w:tcPr>
            <w:tcW w:w="3020" w:type="dxa"/>
            <w:vAlign w:val="center"/>
          </w:tcPr>
          <w:p w14:paraId="530934BD">
            <w:pPr>
              <w:pStyle w:val="20"/>
              <w:snapToGrid w:val="0"/>
              <w:spacing w:after="0" w:line="240" w:lineRule="auto"/>
              <w:jc w:val="center"/>
              <w:rPr>
                <w:rFonts w:ascii="Calibri" w:hAnsi="Calibri" w:eastAsiaTheme="minorEastAsia"/>
                <w:szCs w:val="21"/>
              </w:rPr>
            </w:pPr>
          </w:p>
        </w:tc>
      </w:tr>
    </w:tbl>
    <w:p w14:paraId="1E9E603B">
      <w:pPr>
        <w:pStyle w:val="20"/>
        <w:snapToGrid w:val="0"/>
        <w:spacing w:line="240" w:lineRule="auto"/>
        <w:jc w:val="left"/>
        <w:rPr>
          <w:rFonts w:eastAsiaTheme="minorEastAsia"/>
          <w:sz w:val="24"/>
          <w:szCs w:val="24"/>
        </w:rPr>
      </w:pPr>
    </w:p>
    <w:bookmarkEnd w:id="199"/>
    <w:p w14:paraId="6424F9F0">
      <w:pPr>
        <w:pStyle w:val="20"/>
        <w:snapToGrid w:val="0"/>
        <w:spacing w:line="240" w:lineRule="auto"/>
        <w:jc w:val="left"/>
        <w:rPr>
          <w:rFonts w:eastAsiaTheme="minorEastAsia"/>
          <w:sz w:val="24"/>
          <w:szCs w:val="24"/>
        </w:rPr>
      </w:pPr>
    </w:p>
    <w:p w14:paraId="4BADC9EF">
      <w:pPr>
        <w:pStyle w:val="146"/>
        <w:spacing w:line="300" w:lineRule="auto"/>
        <w:jc w:val="left"/>
        <w:rPr>
          <w:rFonts w:ascii="Times New Roman"/>
          <w:color w:val="000000"/>
          <w:sz w:val="28"/>
          <w:szCs w:val="28"/>
        </w:rPr>
        <w:sectPr>
          <w:footerReference r:id="rId17" w:type="default"/>
          <w:footnotePr>
            <w:numFmt w:val="decimalEnclosedCircleChinese"/>
          </w:footnotePr>
          <w:pgSz w:w="11906" w:h="16838"/>
          <w:pgMar w:top="1871" w:right="1418" w:bottom="1418" w:left="1418" w:header="1418" w:footer="1077" w:gutter="0"/>
          <w:pgNumType w:start="1"/>
          <w:cols w:space="720" w:num="1"/>
          <w:docGrid w:linePitch="286" w:charSpace="0"/>
        </w:sectPr>
      </w:pPr>
      <w:bookmarkStart w:id="200" w:name="_Toc22065"/>
      <w:bookmarkStart w:id="201" w:name="_Toc23000"/>
      <w:bookmarkStart w:id="202" w:name="_Toc223"/>
      <w:bookmarkStart w:id="203" w:name="_Toc73367164"/>
      <w:bookmarkStart w:id="204" w:name="_Toc99635399"/>
      <w:bookmarkStart w:id="205" w:name="_Toc1689"/>
      <w:bookmarkStart w:id="206" w:name="_Toc26328"/>
    </w:p>
    <w:p w14:paraId="06CC604B">
      <w:pPr>
        <w:pStyle w:val="146"/>
        <w:spacing w:line="300" w:lineRule="auto"/>
        <w:jc w:val="left"/>
        <w:rPr>
          <w:rFonts w:ascii="Times New Roman"/>
          <w:color w:val="000000"/>
          <w:sz w:val="28"/>
          <w:szCs w:val="28"/>
        </w:rPr>
      </w:pPr>
      <w:bookmarkStart w:id="207" w:name="_Toc196840023"/>
      <w:r>
        <w:rPr>
          <w:rFonts w:hint="eastAsia" w:ascii="Times New Roman"/>
          <w:color w:val="000000"/>
          <w:sz w:val="28"/>
          <w:szCs w:val="28"/>
        </w:rPr>
        <w:t>附录</w:t>
      </w:r>
      <w:bookmarkEnd w:id="200"/>
      <w:bookmarkEnd w:id="201"/>
      <w:bookmarkEnd w:id="202"/>
      <w:bookmarkEnd w:id="203"/>
      <w:r>
        <w:rPr>
          <w:rFonts w:hint="eastAsia" w:ascii="Times New Roman"/>
          <w:color w:val="000000"/>
          <w:sz w:val="28"/>
          <w:szCs w:val="28"/>
        </w:rPr>
        <w:t>C</w:t>
      </w:r>
      <w:bookmarkEnd w:id="204"/>
      <w:bookmarkEnd w:id="205"/>
      <w:bookmarkEnd w:id="206"/>
      <w:bookmarkEnd w:id="207"/>
    </w:p>
    <w:p w14:paraId="6996E46E">
      <w:pPr>
        <w:spacing w:line="360" w:lineRule="auto"/>
        <w:jc w:val="center"/>
        <w:rPr>
          <w:color w:val="000000"/>
          <w:sz w:val="30"/>
          <w:szCs w:val="30"/>
        </w:rPr>
      </w:pPr>
      <w:bookmarkStart w:id="208" w:name="_Toc25521"/>
      <w:bookmarkStart w:id="209" w:name="_Toc15871"/>
      <w:bookmarkStart w:id="210" w:name="_Toc30498"/>
      <w:bookmarkStart w:id="211" w:name="_Toc6908"/>
      <w:bookmarkStart w:id="212" w:name="_Toc26556"/>
      <w:bookmarkStart w:id="213" w:name="_Toc19126"/>
      <w:bookmarkStart w:id="214" w:name="OLE_LINK29"/>
      <w:r>
        <w:rPr>
          <w:rFonts w:hint="eastAsia" w:ascii="黑体" w:hAnsi="黑体" w:eastAsia="黑体" w:cs="黑体"/>
          <w:sz w:val="30"/>
          <w:szCs w:val="30"/>
        </w:rPr>
        <w:t>温度示值误差测量结果的不确定度评定示例</w:t>
      </w:r>
      <w:bookmarkEnd w:id="208"/>
      <w:bookmarkEnd w:id="209"/>
      <w:bookmarkEnd w:id="210"/>
      <w:bookmarkEnd w:id="211"/>
      <w:bookmarkEnd w:id="212"/>
      <w:bookmarkEnd w:id="213"/>
    </w:p>
    <w:p w14:paraId="5CC62FDC">
      <w:pPr>
        <w:spacing w:before="120" w:after="120" w:line="360" w:lineRule="auto"/>
        <w:rPr>
          <w:rFonts w:eastAsia="黑体"/>
          <w:color w:val="000000"/>
          <w:sz w:val="24"/>
          <w:szCs w:val="24"/>
        </w:rPr>
      </w:pPr>
      <w:bookmarkStart w:id="215" w:name="OLE_LINK46"/>
      <w:r>
        <w:rPr>
          <w:rFonts w:hint="eastAsia" w:eastAsia="黑体"/>
          <w:color w:val="000000"/>
          <w:sz w:val="24"/>
          <w:szCs w:val="24"/>
        </w:rPr>
        <w:t>C</w:t>
      </w:r>
      <w:r>
        <w:rPr>
          <w:rFonts w:eastAsia="黑体"/>
          <w:color w:val="000000"/>
          <w:sz w:val="24"/>
          <w:szCs w:val="24"/>
        </w:rPr>
        <w:t>.1</w:t>
      </w:r>
      <w:r>
        <w:rPr>
          <w:rFonts w:hint="eastAsia" w:eastAsia="黑体"/>
          <w:color w:val="000000"/>
          <w:sz w:val="24"/>
          <w:szCs w:val="24"/>
        </w:rPr>
        <w:t xml:space="preserve"> 概述</w:t>
      </w:r>
    </w:p>
    <w:p w14:paraId="3A26E8A8">
      <w:pPr>
        <w:spacing w:before="120" w:after="120" w:line="360" w:lineRule="auto"/>
        <w:rPr>
          <w:rFonts w:eastAsiaTheme="minorEastAsia"/>
          <w:color w:val="000000"/>
          <w:sz w:val="24"/>
          <w:szCs w:val="24"/>
        </w:rPr>
      </w:pPr>
      <w:r>
        <w:rPr>
          <w:rFonts w:hint="eastAsia" w:eastAsiaTheme="minorEastAsia"/>
          <w:color w:val="000000"/>
          <w:sz w:val="24"/>
          <w:szCs w:val="24"/>
        </w:rPr>
        <w:t>C</w:t>
      </w:r>
      <w:r>
        <w:rPr>
          <w:rFonts w:eastAsiaTheme="minorEastAsia"/>
          <w:color w:val="000000"/>
          <w:sz w:val="24"/>
          <w:szCs w:val="24"/>
        </w:rPr>
        <w:t xml:space="preserve">.1.1 </w:t>
      </w:r>
      <w:r>
        <w:rPr>
          <w:rFonts w:eastAsia="黑体"/>
          <w:color w:val="000000"/>
          <w:sz w:val="24"/>
          <w:szCs w:val="24"/>
        </w:rPr>
        <w:t>环境条件：</w:t>
      </w:r>
      <w:r>
        <w:rPr>
          <w:rFonts w:eastAsiaTheme="minorEastAsia"/>
          <w:color w:val="000000"/>
          <w:sz w:val="24"/>
          <w:szCs w:val="24"/>
        </w:rPr>
        <w:t>温度（</w:t>
      </w:r>
      <w:r>
        <w:rPr>
          <w:rFonts w:hint="eastAsia" w:eastAsiaTheme="minorEastAsia"/>
          <w:color w:val="000000"/>
          <w:sz w:val="24"/>
          <w:szCs w:val="24"/>
        </w:rPr>
        <w:t>15</w:t>
      </w:r>
      <w:r>
        <w:rPr>
          <w:rFonts w:eastAsiaTheme="minorEastAsia"/>
          <w:color w:val="000000"/>
          <w:sz w:val="24"/>
          <w:szCs w:val="24"/>
        </w:rPr>
        <w:t>~</w:t>
      </w:r>
      <w:r>
        <w:rPr>
          <w:rFonts w:hint="eastAsia" w:eastAsiaTheme="minorEastAsia"/>
          <w:color w:val="000000"/>
          <w:sz w:val="24"/>
          <w:szCs w:val="24"/>
        </w:rPr>
        <w:t>35</w:t>
      </w:r>
      <w:r>
        <w:rPr>
          <w:rFonts w:eastAsiaTheme="minorEastAsia"/>
          <w:color w:val="000000"/>
          <w:sz w:val="24"/>
          <w:szCs w:val="24"/>
        </w:rPr>
        <w:t>）</w:t>
      </w:r>
      <w:r>
        <w:rPr>
          <w:rFonts w:hint="eastAsia"/>
          <w:color w:val="000000"/>
          <w:sz w:val="24"/>
          <w:szCs w:val="24"/>
        </w:rPr>
        <w:t>℃</w:t>
      </w:r>
      <w:r>
        <w:rPr>
          <w:rFonts w:eastAsiaTheme="minorEastAsia"/>
          <w:color w:val="000000"/>
          <w:sz w:val="24"/>
          <w:szCs w:val="24"/>
        </w:rPr>
        <w:t>，</w:t>
      </w:r>
      <w:bookmarkStart w:id="216" w:name="OLE_LINK52"/>
      <w:r>
        <w:rPr>
          <w:rFonts w:hint="eastAsia" w:eastAsiaTheme="minorEastAsia"/>
          <w:color w:val="000000"/>
          <w:sz w:val="24"/>
          <w:szCs w:val="24"/>
        </w:rPr>
        <w:t>相对</w:t>
      </w:r>
      <w:r>
        <w:rPr>
          <w:rFonts w:eastAsiaTheme="minorEastAsia"/>
          <w:color w:val="000000"/>
          <w:sz w:val="24"/>
          <w:szCs w:val="24"/>
        </w:rPr>
        <w:t>湿度</w:t>
      </w:r>
      <w:r>
        <w:rPr>
          <w:rFonts w:hint="eastAsia" w:eastAsiaTheme="minorEastAsia"/>
          <w:color w:val="000000"/>
          <w:sz w:val="24"/>
          <w:szCs w:val="24"/>
        </w:rPr>
        <w:t>不大于80</w:t>
      </w:r>
      <w:r>
        <w:rPr>
          <w:rFonts w:eastAsiaTheme="minorEastAsia"/>
          <w:color w:val="000000"/>
          <w:sz w:val="24"/>
          <w:szCs w:val="24"/>
        </w:rPr>
        <w:t>%</w:t>
      </w:r>
      <w:bookmarkEnd w:id="216"/>
      <w:r>
        <w:rPr>
          <w:rFonts w:eastAsiaTheme="minorEastAsia"/>
          <w:color w:val="000000"/>
          <w:sz w:val="24"/>
          <w:szCs w:val="24"/>
        </w:rPr>
        <w:t>。</w:t>
      </w:r>
    </w:p>
    <w:p w14:paraId="01B857CA">
      <w:pPr>
        <w:spacing w:before="120" w:after="120" w:line="360" w:lineRule="auto"/>
        <w:rPr>
          <w:rFonts w:eastAsiaTheme="minorEastAsia"/>
          <w:color w:val="000000"/>
          <w:sz w:val="24"/>
          <w:szCs w:val="24"/>
        </w:rPr>
      </w:pPr>
      <w:r>
        <w:rPr>
          <w:rFonts w:hint="eastAsia" w:eastAsiaTheme="minorEastAsia"/>
          <w:color w:val="000000"/>
          <w:sz w:val="24"/>
          <w:szCs w:val="24"/>
        </w:rPr>
        <w:t>C</w:t>
      </w:r>
      <w:r>
        <w:rPr>
          <w:rFonts w:eastAsiaTheme="minorEastAsia"/>
          <w:color w:val="000000"/>
          <w:sz w:val="24"/>
          <w:szCs w:val="24"/>
        </w:rPr>
        <w:t xml:space="preserve">.1.2 </w:t>
      </w:r>
      <w:r>
        <w:rPr>
          <w:rFonts w:hint="eastAsia" w:eastAsia="黑体"/>
          <w:color w:val="000000"/>
          <w:sz w:val="24"/>
          <w:szCs w:val="24"/>
        </w:rPr>
        <w:t>测量</w:t>
      </w:r>
      <w:r>
        <w:rPr>
          <w:rFonts w:eastAsia="黑体"/>
          <w:color w:val="000000"/>
          <w:sz w:val="24"/>
          <w:szCs w:val="24"/>
        </w:rPr>
        <w:t>标准：</w:t>
      </w:r>
      <w:r>
        <w:rPr>
          <w:rFonts w:asciiTheme="minorEastAsia" w:hAnsiTheme="minorEastAsia" w:eastAsiaTheme="minorEastAsia"/>
          <w:color w:val="000000"/>
          <w:sz w:val="24"/>
          <w:szCs w:val="24"/>
        </w:rPr>
        <w:t>温度巡回检测仪</w:t>
      </w:r>
      <w:r>
        <w:rPr>
          <w:rFonts w:hint="eastAsia"/>
          <w:sz w:val="24"/>
        </w:rPr>
        <w:t>，分辨力为0.01℃，不确定度</w:t>
      </w:r>
      <w:r>
        <w:rPr>
          <w:rFonts w:hint="eastAsia"/>
          <w:i/>
          <w:iCs/>
          <w:sz w:val="24"/>
        </w:rPr>
        <w:t>U</w:t>
      </w:r>
      <w:r>
        <w:rPr>
          <w:rFonts w:hint="eastAsia"/>
          <w:sz w:val="24"/>
        </w:rPr>
        <w:t>=0.06 ℃，</w:t>
      </w:r>
      <w:r>
        <w:rPr>
          <w:rFonts w:hint="eastAsia"/>
          <w:i/>
          <w:iCs/>
          <w:sz w:val="24"/>
        </w:rPr>
        <w:t>k</w:t>
      </w:r>
      <w:r>
        <w:rPr>
          <w:rFonts w:hint="eastAsia"/>
          <w:sz w:val="24"/>
        </w:rPr>
        <w:t>=2</w:t>
      </w:r>
      <w:r>
        <w:rPr>
          <w:rFonts w:eastAsiaTheme="minorEastAsia"/>
          <w:color w:val="000000"/>
          <w:sz w:val="24"/>
          <w:szCs w:val="24"/>
        </w:rPr>
        <w:t>。</w:t>
      </w:r>
    </w:p>
    <w:p w14:paraId="180CA34C">
      <w:pPr>
        <w:spacing w:before="120" w:after="120" w:line="360" w:lineRule="auto"/>
        <w:rPr>
          <w:rFonts w:eastAsiaTheme="minorEastAsia"/>
          <w:color w:val="000000"/>
          <w:sz w:val="24"/>
          <w:szCs w:val="24"/>
        </w:rPr>
      </w:pPr>
      <w:r>
        <w:rPr>
          <w:rFonts w:hint="eastAsia" w:eastAsiaTheme="minorEastAsia"/>
          <w:color w:val="000000"/>
          <w:sz w:val="24"/>
          <w:szCs w:val="24"/>
        </w:rPr>
        <w:t>C</w:t>
      </w:r>
      <w:r>
        <w:rPr>
          <w:rFonts w:eastAsiaTheme="minorEastAsia"/>
          <w:color w:val="000000"/>
          <w:sz w:val="24"/>
          <w:szCs w:val="24"/>
        </w:rPr>
        <w:t xml:space="preserve">.1.3 </w:t>
      </w:r>
      <w:r>
        <w:rPr>
          <w:rFonts w:eastAsia="黑体"/>
          <w:color w:val="000000"/>
          <w:sz w:val="24"/>
          <w:szCs w:val="24"/>
        </w:rPr>
        <w:t>测量方法</w:t>
      </w:r>
    </w:p>
    <w:p w14:paraId="699D7CA5">
      <w:pPr>
        <w:spacing w:before="120" w:line="360" w:lineRule="auto"/>
        <w:ind w:firstLine="480" w:firstLineChars="200"/>
        <w:rPr>
          <w:rFonts w:hint="eastAsia" w:ascii="宋体" w:hAnsi="宋体" w:cs="宋体"/>
          <w:sz w:val="24"/>
        </w:rPr>
      </w:pPr>
      <w:bookmarkStart w:id="217" w:name="_Hlk203660326"/>
      <w:r>
        <w:rPr>
          <w:rFonts w:hint="eastAsia" w:ascii="宋体" w:hAnsi="宋体" w:cs="宋体"/>
          <w:sz w:val="24"/>
        </w:rPr>
        <w:t>以循环水浴温度示值误差测量结果的不确定度评定为例。</w:t>
      </w:r>
    </w:p>
    <w:p w14:paraId="37E155F5">
      <w:pPr>
        <w:spacing w:after="120" w:line="360" w:lineRule="auto"/>
        <w:ind w:firstLine="480" w:firstLineChars="200"/>
        <w:rPr>
          <w:sz w:val="24"/>
        </w:rPr>
      </w:pPr>
      <w:r>
        <w:rPr>
          <w:rFonts w:hint="eastAsia" w:ascii="宋体" w:hAnsi="宋体" w:cs="宋体"/>
          <w:sz w:val="24"/>
        </w:rPr>
        <w:t>开机运行空气释放值测定仪，设定</w:t>
      </w:r>
      <w:r>
        <w:rPr>
          <w:rFonts w:hint="eastAsia"/>
          <w:sz w:val="24"/>
        </w:rPr>
        <w:t>循环</w:t>
      </w:r>
      <w:r>
        <w:rPr>
          <w:rFonts w:hint="eastAsia" w:ascii="宋体" w:hAnsi="宋体" w:cs="宋体"/>
          <w:sz w:val="24"/>
        </w:rPr>
        <w:t>水浴</w:t>
      </w:r>
      <w:r>
        <w:rPr>
          <w:rFonts w:hint="eastAsia"/>
          <w:sz w:val="24"/>
        </w:rPr>
        <w:t>校准温度</w:t>
      </w:r>
      <w:r>
        <w:rPr>
          <w:sz w:val="24"/>
        </w:rPr>
        <w:t>。</w:t>
      </w:r>
      <w:r>
        <w:rPr>
          <w:rFonts w:hint="eastAsia"/>
          <w:sz w:val="24"/>
        </w:rPr>
        <w:t>将</w:t>
      </w:r>
      <w:r>
        <w:rPr>
          <w:sz w:val="24"/>
        </w:rPr>
        <w:t>温度</w:t>
      </w:r>
      <w:r>
        <w:rPr>
          <w:rFonts w:hint="eastAsia"/>
          <w:sz w:val="24"/>
        </w:rPr>
        <w:t>测量标准的温度传感器放入循环水浴中，浸没至液面以下容器总深度的1/2处。待循环水浴达到稳定状态后开始记录温度标准器的读数</w:t>
      </w:r>
      <w:r>
        <w:rPr>
          <w:sz w:val="24"/>
        </w:rPr>
        <w:t>，连续测</w:t>
      </w:r>
      <w:r>
        <w:rPr>
          <w:rFonts w:hint="eastAsia"/>
          <w:sz w:val="24"/>
        </w:rPr>
        <w:t>量</w:t>
      </w:r>
      <w:r>
        <w:rPr>
          <w:sz w:val="24"/>
        </w:rPr>
        <w:t>3次，</w:t>
      </w:r>
      <w:r>
        <w:rPr>
          <w:rFonts w:hint="eastAsia"/>
          <w:sz w:val="24"/>
        </w:rPr>
        <w:t>通过3次测量平均值与温度设定值之差计算循环水浴温度示值误差，</w:t>
      </w:r>
      <w:r>
        <w:rPr>
          <w:rFonts w:hint="eastAsia"/>
          <w:sz w:val="24"/>
          <w:szCs w:val="24"/>
        </w:rPr>
        <w:t>以水浴温度设定值50 ℃为例，对示值误差的不确定度进行评定。</w:t>
      </w:r>
    </w:p>
    <w:bookmarkEnd w:id="217"/>
    <w:p w14:paraId="5AAB5D16">
      <w:pPr>
        <w:spacing w:before="120" w:after="120" w:line="276" w:lineRule="auto"/>
        <w:rPr>
          <w:rFonts w:eastAsia="黑体"/>
          <w:color w:val="000000"/>
          <w:sz w:val="24"/>
          <w:szCs w:val="24"/>
        </w:rPr>
      </w:pPr>
      <w:r>
        <w:rPr>
          <w:rFonts w:hint="eastAsia" w:eastAsia="黑体"/>
          <w:color w:val="000000"/>
          <w:sz w:val="24"/>
          <w:szCs w:val="24"/>
        </w:rPr>
        <w:t>C</w:t>
      </w:r>
      <w:r>
        <w:rPr>
          <w:rFonts w:eastAsia="黑体"/>
          <w:color w:val="000000"/>
          <w:sz w:val="24"/>
          <w:szCs w:val="24"/>
        </w:rPr>
        <w:t>.2</w:t>
      </w:r>
      <w:r>
        <w:rPr>
          <w:rFonts w:hint="eastAsia" w:eastAsia="黑体"/>
          <w:color w:val="000000"/>
          <w:sz w:val="24"/>
          <w:szCs w:val="24"/>
        </w:rPr>
        <w:t xml:space="preserve"> </w:t>
      </w:r>
      <w:r>
        <w:rPr>
          <w:rFonts w:eastAsia="黑体"/>
          <w:color w:val="000000"/>
          <w:sz w:val="24"/>
          <w:szCs w:val="24"/>
        </w:rPr>
        <w:t>测量模型</w:t>
      </w:r>
    </w:p>
    <w:p w14:paraId="6F74D3C0">
      <w:pPr>
        <w:spacing w:before="120" w:after="120" w:line="360" w:lineRule="auto"/>
        <w:ind w:firstLine="480" w:firstLineChars="200"/>
        <w:rPr>
          <w:rFonts w:eastAsiaTheme="minorEastAsia"/>
          <w:color w:val="000000"/>
          <w:sz w:val="24"/>
          <w:szCs w:val="24"/>
        </w:rPr>
      </w:pPr>
      <w:r>
        <w:rPr>
          <w:rFonts w:hint="eastAsia" w:eastAsiaTheme="minorEastAsia"/>
          <w:color w:val="000000"/>
          <w:sz w:val="24"/>
          <w:szCs w:val="24"/>
        </w:rPr>
        <w:t>根据润滑油空气释放值测定仪校准规范，</w:t>
      </w:r>
      <w:r>
        <w:rPr>
          <w:rFonts w:eastAsiaTheme="minorEastAsia"/>
          <w:color w:val="000000"/>
          <w:sz w:val="24"/>
          <w:szCs w:val="24"/>
        </w:rPr>
        <w:t>按照式（</w:t>
      </w:r>
      <w:r>
        <w:rPr>
          <w:rFonts w:hint="eastAsia" w:eastAsiaTheme="minorEastAsia"/>
          <w:color w:val="000000"/>
          <w:sz w:val="24"/>
          <w:szCs w:val="24"/>
        </w:rPr>
        <w:t>C</w:t>
      </w:r>
      <w:r>
        <w:rPr>
          <w:rFonts w:eastAsiaTheme="minorEastAsia"/>
          <w:color w:val="000000"/>
          <w:sz w:val="24"/>
          <w:szCs w:val="24"/>
        </w:rPr>
        <w:t>.1</w:t>
      </w:r>
      <w:r>
        <w:rPr>
          <w:rFonts w:hint="eastAsia" w:eastAsiaTheme="minorEastAsia"/>
          <w:color w:val="000000"/>
          <w:sz w:val="24"/>
          <w:szCs w:val="24"/>
        </w:rPr>
        <w:t>）计算</w:t>
      </w:r>
      <w:r>
        <w:rPr>
          <w:rFonts w:hint="eastAsia"/>
          <w:sz w:val="24"/>
        </w:rPr>
        <w:t>循环</w:t>
      </w:r>
      <w:r>
        <w:rPr>
          <w:rFonts w:hint="eastAsia" w:eastAsiaTheme="minorEastAsia"/>
          <w:color w:val="000000"/>
          <w:sz w:val="24"/>
          <w:szCs w:val="24"/>
        </w:rPr>
        <w:t>水浴温度示值误差。</w:t>
      </w:r>
    </w:p>
    <w:p w14:paraId="6ACFBF3E">
      <w:pPr>
        <w:pStyle w:val="177"/>
        <w:adjustRightInd/>
        <w:spacing w:line="360" w:lineRule="auto"/>
        <w:ind w:firstLine="480"/>
        <w:jc w:val="center"/>
        <w:rPr>
          <w:sz w:val="24"/>
          <w:szCs w:val="24"/>
        </w:rPr>
      </w:pPr>
      <w:r>
        <w:rPr>
          <w:rFonts w:hint="eastAsia" w:eastAsiaTheme="minorEastAsia"/>
          <w:color w:val="000000"/>
          <w:sz w:val="24"/>
          <w:szCs w:val="24"/>
        </w:rPr>
        <w:t xml:space="preserve">                   </w:t>
      </w:r>
      <w:r>
        <w:rPr>
          <w:rFonts w:hint="eastAsia"/>
          <w:position w:val="-12"/>
        </w:rPr>
        <w:t xml:space="preserve">    </w:t>
      </w:r>
      <w:r>
        <w:rPr>
          <w:rFonts w:hint="eastAsia"/>
          <w:position w:val="-12"/>
        </w:rPr>
        <w:object>
          <v:shape id="_x0000_i1042" o:spt="75" type="#_x0000_t75" style="height:20pt;width:66pt;" o:ole="t" filled="f" o:preferrelative="t" stroked="f" coordsize="21600,21600">
            <v:path/>
            <v:fill on="f" focussize="0,0"/>
            <v:stroke on="f" joinstyle="miter"/>
            <v:imagedata r:id="rId28" o:title=""/>
            <o:lock v:ext="edit" aspectratio="t"/>
            <w10:wrap type="none"/>
            <w10:anchorlock/>
          </v:shape>
          <o:OLEObject Type="Embed" ProgID="Equation.DSMT4" ShapeID="_x0000_i1042" DrawAspect="Content" ObjectID="_1468075743" r:id="rId59">
            <o:LockedField>false</o:LockedField>
          </o:OLEObject>
        </w:object>
      </w:r>
      <w:r>
        <w:rPr>
          <w:rFonts w:hint="eastAsia"/>
          <w:position w:val="-12"/>
        </w:rPr>
        <w:t xml:space="preserve">                             </w:t>
      </w:r>
      <w:r>
        <w:rPr>
          <w:rFonts w:hint="eastAsia"/>
          <w:sz w:val="24"/>
          <w:szCs w:val="24"/>
        </w:rPr>
        <w:t>（C.1）</w:t>
      </w:r>
    </w:p>
    <w:p w14:paraId="3EE89214">
      <w:pPr>
        <w:spacing w:line="360" w:lineRule="auto"/>
        <w:ind w:firstLine="480" w:firstLineChars="200"/>
        <w:rPr>
          <w:sz w:val="24"/>
          <w:szCs w:val="24"/>
        </w:rPr>
      </w:pPr>
      <w:r>
        <w:rPr>
          <w:rFonts w:hint="eastAsia"/>
          <w:sz w:val="24"/>
          <w:szCs w:val="24"/>
        </w:rPr>
        <w:t>式中：</w:t>
      </w:r>
    </w:p>
    <w:p w14:paraId="6A853A96">
      <w:pPr>
        <w:spacing w:line="360" w:lineRule="auto"/>
        <w:ind w:firstLine="480" w:firstLineChars="200"/>
        <w:rPr>
          <w:sz w:val="24"/>
          <w:szCs w:val="24"/>
        </w:rPr>
      </w:pPr>
      <w:r>
        <w:rPr>
          <w:rFonts w:hint="eastAsia"/>
          <w:position w:val="-10"/>
          <w:sz w:val="24"/>
          <w:szCs w:val="24"/>
        </w:rPr>
        <w:object>
          <v:shape id="_x0000_i1043" o:spt="75" type="#_x0000_t75" style="height:15pt;width:18pt;" o:ole="t" filled="f" o:preferrelative="t" stroked="f" coordsize="21600,21600">
            <v:path/>
            <v:fill on="f" focussize="0,0"/>
            <v:stroke on="f" joinstyle="miter"/>
            <v:imagedata r:id="rId30" o:title=""/>
            <o:lock v:ext="edit" aspectratio="t"/>
            <w10:wrap type="none"/>
            <w10:anchorlock/>
          </v:shape>
          <o:OLEObject Type="Embed" ProgID="Equation.DSMT4" ShapeID="_x0000_i1043" DrawAspect="Content" ObjectID="_1468075744" r:id="rId60">
            <o:LockedField>false</o:LockedField>
          </o:OLEObject>
        </w:object>
      </w:r>
      <w:r>
        <w:rPr>
          <w:sz w:val="24"/>
          <w:szCs w:val="24"/>
        </w:rPr>
        <w:t>——</w:t>
      </w:r>
      <w:r>
        <w:rPr>
          <w:rFonts w:hint="eastAsia"/>
          <w:sz w:val="24"/>
        </w:rPr>
        <w:t>循环</w:t>
      </w:r>
      <w:r>
        <w:rPr>
          <w:rFonts w:hint="eastAsia"/>
          <w:sz w:val="24"/>
          <w:szCs w:val="24"/>
        </w:rPr>
        <w:t>水浴温度示</w:t>
      </w:r>
      <w:r>
        <w:rPr>
          <w:sz w:val="24"/>
          <w:szCs w:val="24"/>
        </w:rPr>
        <w:t>值误差，℃；</w:t>
      </w:r>
    </w:p>
    <w:p w14:paraId="14256A4E">
      <w:pPr>
        <w:spacing w:line="360" w:lineRule="auto"/>
        <w:ind w:firstLine="480" w:firstLineChars="200"/>
        <w:rPr>
          <w:sz w:val="24"/>
          <w:szCs w:val="24"/>
        </w:rPr>
      </w:pPr>
      <w:r>
        <w:rPr>
          <w:position w:val="-12"/>
          <w:sz w:val="24"/>
          <w:szCs w:val="24"/>
        </w:rPr>
        <w:object>
          <v:shape id="_x0000_i1044" o:spt="75" type="#_x0000_t75" style="height:20pt;width:13.95pt;" o:ole="t" filled="f" o:preferrelative="t" stroked="f" coordsize="21600,21600">
            <v:path/>
            <v:fill on="f" focussize="0,0"/>
            <v:stroke on="f" joinstyle="miter"/>
            <v:imagedata r:id="rId32" o:title=""/>
            <o:lock v:ext="edit" aspectratio="t"/>
            <w10:wrap type="none"/>
            <w10:anchorlock/>
          </v:shape>
          <o:OLEObject Type="Embed" ProgID="Equation.DSMT4" ShapeID="_x0000_i1044" DrawAspect="Content" ObjectID="_1468075745" r:id="rId61">
            <o:LockedField>false</o:LockedField>
          </o:OLEObject>
        </w:object>
      </w:r>
      <w:r>
        <w:rPr>
          <w:sz w:val="24"/>
          <w:szCs w:val="24"/>
        </w:rPr>
        <w:t>——温度测量值的算术平均值，℃；</w:t>
      </w:r>
    </w:p>
    <w:p w14:paraId="7A6BF5B1">
      <w:pPr>
        <w:spacing w:line="360" w:lineRule="auto"/>
        <w:ind w:firstLine="480" w:firstLineChars="200"/>
        <w:rPr>
          <w:sz w:val="24"/>
          <w:szCs w:val="24"/>
        </w:rPr>
      </w:pPr>
      <w:r>
        <w:rPr>
          <w:position w:val="-10"/>
          <w:sz w:val="24"/>
          <w:szCs w:val="24"/>
        </w:rPr>
        <w:object>
          <v:shape id="_x0000_i1045" o:spt="75" type="#_x0000_t75" style="height:19.15pt;width:18pt;" o:ole="t" filled="f" o:preferrelative="t" stroked="f" coordsize="21600,21600">
            <v:path/>
            <v:fill on="f" focussize="0,0"/>
            <v:stroke on="f" joinstyle="miter"/>
            <v:imagedata r:id="rId34" o:title=""/>
            <o:lock v:ext="edit" aspectratio="t"/>
            <w10:wrap type="none"/>
            <w10:anchorlock/>
          </v:shape>
          <o:OLEObject Type="Embed" ProgID="Equation.DSMT4" ShapeID="_x0000_i1045" DrawAspect="Content" ObjectID="_1468075746" r:id="rId62">
            <o:LockedField>false</o:LockedField>
          </o:OLEObject>
        </w:object>
      </w:r>
      <w:r>
        <w:rPr>
          <w:sz w:val="24"/>
          <w:szCs w:val="24"/>
        </w:rPr>
        <w:t>——</w:t>
      </w:r>
      <w:r>
        <w:rPr>
          <w:rFonts w:hint="eastAsia"/>
          <w:sz w:val="24"/>
        </w:rPr>
        <w:t>循环</w:t>
      </w:r>
      <w:r>
        <w:rPr>
          <w:rFonts w:hint="eastAsia"/>
          <w:sz w:val="24"/>
          <w:szCs w:val="24"/>
        </w:rPr>
        <w:t>水浴</w:t>
      </w:r>
      <w:r>
        <w:rPr>
          <w:sz w:val="24"/>
          <w:szCs w:val="24"/>
        </w:rPr>
        <w:t>温度设定值，℃。</w:t>
      </w:r>
    </w:p>
    <w:p w14:paraId="3D331545">
      <w:pPr>
        <w:spacing w:line="360" w:lineRule="auto"/>
        <w:rPr>
          <w:rFonts w:eastAsia="黑体"/>
          <w:color w:val="000000"/>
          <w:sz w:val="24"/>
          <w:szCs w:val="24"/>
        </w:rPr>
      </w:pPr>
      <w:r>
        <w:rPr>
          <w:rFonts w:hint="eastAsia" w:eastAsia="黑体"/>
          <w:color w:val="000000"/>
          <w:sz w:val="24"/>
          <w:szCs w:val="24"/>
        </w:rPr>
        <w:t>C.3 不确定度传播律</w:t>
      </w:r>
    </w:p>
    <w:p w14:paraId="48251617">
      <w:pPr>
        <w:spacing w:line="360" w:lineRule="auto"/>
        <w:ind w:firstLine="480" w:firstLineChars="200"/>
        <w:rPr>
          <w:sz w:val="24"/>
          <w:szCs w:val="24"/>
        </w:rPr>
      </w:pPr>
      <w:r>
        <w:rPr>
          <w:rFonts w:hint="eastAsia"/>
          <w:sz w:val="24"/>
          <w:szCs w:val="24"/>
        </w:rPr>
        <w:t>测量量</w:t>
      </w:r>
      <w:r>
        <w:rPr>
          <w:position w:val="-10"/>
          <w:sz w:val="24"/>
          <w:szCs w:val="24"/>
        </w:rPr>
        <w:object>
          <v:shape id="_x0000_i1046" o:spt="75" type="#_x0000_t75" style="height:17pt;width:12pt;" o:ole="t" filled="f" o:preferrelative="t" stroked="f" coordsize="21600,21600">
            <v:path/>
            <v:fill on="f" focussize="0,0"/>
            <v:stroke on="f" joinstyle="miter"/>
            <v:imagedata r:id="rId64" o:title=""/>
            <o:lock v:ext="edit" aspectratio="t"/>
            <w10:wrap type="none"/>
            <w10:anchorlock/>
          </v:shape>
          <o:OLEObject Type="Embed" ProgID="Equation.DSMT4" ShapeID="_x0000_i1046" DrawAspect="Content" ObjectID="_1468075747" r:id="rId63">
            <o:LockedField>false</o:LockedField>
          </o:OLEObject>
        </w:object>
      </w:r>
      <w:r>
        <w:rPr>
          <w:rFonts w:hint="eastAsia"/>
          <w:sz w:val="24"/>
          <w:szCs w:val="24"/>
        </w:rPr>
        <w:t>与</w:t>
      </w:r>
      <w:r>
        <w:rPr>
          <w:position w:val="-10"/>
          <w:sz w:val="24"/>
          <w:szCs w:val="24"/>
        </w:rPr>
        <w:object>
          <v:shape id="_x0000_i1047" o:spt="75" type="#_x0000_t75" style="height:15pt;width:13.95pt;" o:ole="t" filled="f" o:preferrelative="t" stroked="f" coordsize="21600,21600">
            <v:path/>
            <v:fill on="f" focussize="0,0"/>
            <v:stroke on="f" joinstyle="miter"/>
            <v:imagedata r:id="rId66" o:title=""/>
            <o:lock v:ext="edit" aspectratio="t"/>
            <w10:wrap type="none"/>
            <w10:anchorlock/>
          </v:shape>
          <o:OLEObject Type="Embed" ProgID="Equation.DSMT4" ShapeID="_x0000_i1047" DrawAspect="Content" ObjectID="_1468075748" r:id="rId65">
            <o:LockedField>false</o:LockedField>
          </o:OLEObject>
        </w:object>
      </w:r>
      <w:r>
        <w:rPr>
          <w:rFonts w:hint="eastAsia"/>
          <w:sz w:val="24"/>
          <w:szCs w:val="24"/>
        </w:rPr>
        <w:t>彼此不相关，则合成标准不确定度的计算公式为：</w:t>
      </w:r>
    </w:p>
    <w:p w14:paraId="30FBCA48">
      <w:pPr>
        <w:spacing w:line="360" w:lineRule="auto"/>
        <w:jc w:val="right"/>
        <w:rPr>
          <w:sz w:val="24"/>
        </w:rPr>
      </w:pPr>
      <w:bookmarkStart w:id="218" w:name="OLE_LINK44"/>
      <w:r>
        <w:rPr>
          <w:position w:val="-16"/>
          <w:sz w:val="24"/>
        </w:rPr>
        <w:object>
          <v:shape id="_x0000_i1048" o:spt="75" type="#_x0000_t75" style="height:25pt;width:156.4pt;" o:ole="t" filled="f" o:preferrelative="t" stroked="f" coordsize="21600,21600">
            <v:path/>
            <v:fill on="f" focussize="0,0"/>
            <v:stroke on="f" joinstyle="miter"/>
            <v:imagedata r:id="rId68" o:title=""/>
            <o:lock v:ext="edit" aspectratio="t"/>
            <w10:wrap type="none"/>
            <w10:anchorlock/>
          </v:shape>
          <o:OLEObject Type="Embed" ProgID="Equation.DSMT4" ShapeID="_x0000_i1048" DrawAspect="Content" ObjectID="_1468075749" r:id="rId67">
            <o:LockedField>false</o:LockedField>
          </o:OLEObject>
        </w:object>
      </w:r>
      <w:bookmarkEnd w:id="218"/>
      <w:r>
        <w:rPr>
          <w:rFonts w:hint="eastAsia"/>
          <w:sz w:val="24"/>
        </w:rPr>
        <w:t xml:space="preserve">                  （C.2）</w:t>
      </w:r>
    </w:p>
    <w:p w14:paraId="02763271">
      <w:pPr>
        <w:spacing w:line="360" w:lineRule="auto"/>
        <w:ind w:firstLine="480" w:firstLineChars="200"/>
        <w:rPr>
          <w:sz w:val="24"/>
          <w:szCs w:val="24"/>
        </w:rPr>
      </w:pPr>
      <w:r>
        <w:rPr>
          <w:rFonts w:hint="eastAsia"/>
          <w:position w:val="-12"/>
          <w:sz w:val="24"/>
          <w:szCs w:val="24"/>
        </w:rPr>
        <w:t>灵敏系数为：</w:t>
      </w:r>
      <w:r>
        <w:rPr>
          <w:rFonts w:hint="eastAsia" w:eastAsiaTheme="minorEastAsia"/>
          <w:position w:val="-32"/>
          <w:sz w:val="24"/>
          <w:szCs w:val="24"/>
        </w:rPr>
        <w:object>
          <v:shape id="_x0000_i1049" o:spt="75" type="#_x0000_t75" style="height:35pt;width:74pt;" o:ole="t" filled="f" o:preferrelative="t" stroked="f" coordsize="21600,21600">
            <v:path/>
            <v:fill on="f" focussize="0,0"/>
            <v:stroke on="f" joinstyle="miter"/>
            <v:imagedata r:id="rId70" o:title=""/>
            <o:lock v:ext="edit" aspectratio="t"/>
            <w10:wrap type="none"/>
            <w10:anchorlock/>
          </v:shape>
          <o:OLEObject Type="Embed" ProgID="Equation.DSMT4" ShapeID="_x0000_i1049" DrawAspect="Content" ObjectID="_1468075750" r:id="rId69">
            <o:LockedField>false</o:LockedField>
          </o:OLEObject>
        </w:object>
      </w:r>
      <w:r>
        <w:rPr>
          <w:rFonts w:hint="eastAsia" w:eastAsiaTheme="minorEastAsia"/>
          <w:sz w:val="24"/>
          <w:szCs w:val="24"/>
        </w:rPr>
        <w:t xml:space="preserve">      </w:t>
      </w:r>
      <w:r>
        <w:rPr>
          <w:rFonts w:hint="eastAsia" w:eastAsiaTheme="minorEastAsia"/>
          <w:position w:val="-30"/>
          <w:sz w:val="24"/>
          <w:szCs w:val="24"/>
        </w:rPr>
        <w:object>
          <v:shape id="_x0000_i1050" o:spt="75" type="#_x0000_t75" style="height:34pt;width:83pt;" o:ole="t" filled="f" o:preferrelative="t" stroked="f" coordsize="21600,21600">
            <v:path/>
            <v:fill on="f" focussize="0,0"/>
            <v:stroke on="f" joinstyle="miter"/>
            <v:imagedata r:id="rId72" o:title=""/>
            <o:lock v:ext="edit" aspectratio="t"/>
            <w10:wrap type="none"/>
            <w10:anchorlock/>
          </v:shape>
          <o:OLEObject Type="Embed" ProgID="Equation.DSMT4" ShapeID="_x0000_i1050" DrawAspect="Content" ObjectID="_1468075751" r:id="rId71">
            <o:LockedField>false</o:LockedField>
          </o:OLEObject>
        </w:object>
      </w:r>
    </w:p>
    <w:p w14:paraId="6716D1A3">
      <w:pPr>
        <w:spacing w:before="120" w:after="120" w:line="276" w:lineRule="auto"/>
        <w:rPr>
          <w:rFonts w:eastAsia="黑体"/>
          <w:color w:val="000000"/>
          <w:sz w:val="24"/>
          <w:szCs w:val="24"/>
        </w:rPr>
      </w:pPr>
      <w:r>
        <w:rPr>
          <w:rFonts w:hint="eastAsia" w:eastAsia="黑体"/>
          <w:color w:val="000000"/>
          <w:sz w:val="24"/>
          <w:szCs w:val="24"/>
        </w:rPr>
        <w:t>C</w:t>
      </w:r>
      <w:r>
        <w:rPr>
          <w:rFonts w:eastAsia="黑体"/>
          <w:color w:val="000000"/>
          <w:sz w:val="24"/>
          <w:szCs w:val="24"/>
        </w:rPr>
        <w:t>.</w:t>
      </w:r>
      <w:r>
        <w:rPr>
          <w:rFonts w:hint="eastAsia" w:eastAsia="黑体"/>
          <w:color w:val="000000"/>
          <w:sz w:val="24"/>
          <w:szCs w:val="24"/>
        </w:rPr>
        <w:t>4 标准不确定度评定</w:t>
      </w:r>
    </w:p>
    <w:p w14:paraId="6167EB2A">
      <w:pPr>
        <w:spacing w:line="360" w:lineRule="auto"/>
        <w:ind w:firstLine="480" w:firstLineChars="200"/>
        <w:rPr>
          <w:sz w:val="24"/>
          <w:szCs w:val="24"/>
        </w:rPr>
      </w:pPr>
      <w:r>
        <w:rPr>
          <w:rFonts w:hint="eastAsia"/>
          <w:sz w:val="24"/>
          <w:szCs w:val="24"/>
        </w:rPr>
        <w:t>不确定度来源：测量重复性引入的标准不确定度分量，标准器分辨力引入的标准不确定度分量，标准器修正值引入的标准不确定度分量，标准器的稳定性引入的标准不确定度分量，</w:t>
      </w:r>
      <w:bookmarkStart w:id="219" w:name="OLE_LINK43"/>
      <w:r>
        <w:rPr>
          <w:rFonts w:hint="eastAsia"/>
          <w:sz w:val="24"/>
          <w:szCs w:val="24"/>
        </w:rPr>
        <w:t>被校对象分辨力引入的标准不确定度分量</w:t>
      </w:r>
      <w:bookmarkEnd w:id="219"/>
      <w:r>
        <w:rPr>
          <w:rFonts w:hint="eastAsia"/>
          <w:sz w:val="24"/>
          <w:szCs w:val="24"/>
        </w:rPr>
        <w:t>。</w:t>
      </w:r>
    </w:p>
    <w:p w14:paraId="0B33C2CD">
      <w:pPr>
        <w:adjustRightInd/>
        <w:spacing w:line="360" w:lineRule="auto"/>
        <w:rPr>
          <w:color w:val="000000"/>
          <w:sz w:val="24"/>
          <w:szCs w:val="24"/>
        </w:rPr>
      </w:pPr>
      <w:bookmarkStart w:id="220" w:name="OLE_LINK42"/>
      <w:r>
        <w:rPr>
          <w:rFonts w:hint="eastAsia"/>
          <w:color w:val="000000"/>
          <w:sz w:val="24"/>
          <w:szCs w:val="24"/>
        </w:rPr>
        <w:t>C</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w:t>
      </w:r>
      <w:r>
        <w:rPr>
          <w:color w:val="000000"/>
          <w:sz w:val="24"/>
          <w:szCs w:val="24"/>
        </w:rPr>
        <w:t xml:space="preserve"> </w:t>
      </w:r>
      <w:r>
        <w:rPr>
          <w:rFonts w:hint="eastAsia"/>
          <w:color w:val="000000"/>
          <w:sz w:val="24"/>
          <w:szCs w:val="24"/>
        </w:rPr>
        <w:t>测量值的标准不确度</w:t>
      </w:r>
      <w:r>
        <w:rPr>
          <w:position w:val="-16"/>
          <w:sz w:val="24"/>
        </w:rPr>
        <w:object>
          <v:shape id="_x0000_i1051" o:spt="75" type="#_x0000_t75" style="height:25.05pt;width:31.3pt;" o:ole="t" filled="f" o:preferrelative="t" stroked="f" coordsize="21600,21600">
            <v:path/>
            <v:fill on="f" focussize="0,0"/>
            <v:stroke on="f" joinstyle="miter"/>
            <v:imagedata r:id="rId74" o:title=""/>
            <o:lock v:ext="edit" aspectratio="t"/>
            <w10:wrap type="none"/>
            <w10:anchorlock/>
          </v:shape>
          <o:OLEObject Type="Embed" ProgID="Equation.DSMT4" ShapeID="_x0000_i1051" DrawAspect="Content" ObjectID="_1468075752" r:id="rId73">
            <o:LockedField>false</o:LockedField>
          </o:OLEObject>
        </w:object>
      </w:r>
    </w:p>
    <w:bookmarkEnd w:id="220"/>
    <w:p w14:paraId="5ACA77FA">
      <w:pPr>
        <w:adjustRightInd/>
        <w:spacing w:line="360" w:lineRule="auto"/>
        <w:rPr>
          <w:color w:val="000000"/>
          <w:sz w:val="24"/>
          <w:szCs w:val="24"/>
        </w:rPr>
      </w:pPr>
      <w:bookmarkStart w:id="221" w:name="OLE_LINK41"/>
      <w:r>
        <w:rPr>
          <w:rFonts w:hint="eastAsia"/>
          <w:color w:val="000000"/>
          <w:sz w:val="24"/>
          <w:szCs w:val="24"/>
        </w:rPr>
        <w:t>C</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1.1</w:t>
      </w:r>
      <w:r>
        <w:rPr>
          <w:color w:val="000000"/>
          <w:sz w:val="24"/>
          <w:szCs w:val="24"/>
        </w:rPr>
        <w:t xml:space="preserve"> </w:t>
      </w:r>
      <w:r>
        <w:rPr>
          <w:rFonts w:hint="eastAsia"/>
          <w:color w:val="000000"/>
          <w:sz w:val="24"/>
          <w:szCs w:val="24"/>
        </w:rPr>
        <w:t>测量重复性引入的标准不确</w:t>
      </w:r>
      <w:bookmarkEnd w:id="221"/>
      <w:r>
        <w:rPr>
          <w:rFonts w:hint="eastAsia"/>
          <w:color w:val="000000"/>
          <w:sz w:val="24"/>
          <w:szCs w:val="24"/>
        </w:rPr>
        <w:t>定度分量</w:t>
      </w:r>
      <w:r>
        <w:rPr>
          <w:rFonts w:hint="eastAsia"/>
          <w:i/>
          <w:iCs/>
          <w:color w:val="000000"/>
          <w:sz w:val="24"/>
          <w:szCs w:val="24"/>
        </w:rPr>
        <w:t>u</w:t>
      </w:r>
      <w:r>
        <w:rPr>
          <w:rFonts w:hint="eastAsia"/>
          <w:color w:val="000000"/>
          <w:sz w:val="24"/>
          <w:szCs w:val="24"/>
          <w:vertAlign w:val="subscript"/>
        </w:rPr>
        <w:t>1</w:t>
      </w:r>
    </w:p>
    <w:p w14:paraId="50608CEA">
      <w:pPr>
        <w:adjustRightInd/>
        <w:spacing w:line="360" w:lineRule="auto"/>
        <w:ind w:firstLine="480" w:firstLineChars="200"/>
        <w:rPr>
          <w:color w:val="000000"/>
          <w:sz w:val="24"/>
          <w:szCs w:val="24"/>
        </w:rPr>
      </w:pPr>
      <w:r>
        <w:rPr>
          <w:rFonts w:hint="eastAsia"/>
          <w:color w:val="212121"/>
          <w:sz w:val="24"/>
          <w:szCs w:val="24"/>
        </w:rPr>
        <w:t>在50 ℃校准点重复测量10次</w:t>
      </w:r>
      <w:r>
        <w:rPr>
          <w:rFonts w:hint="eastAsia"/>
          <w:color w:val="000000"/>
          <w:sz w:val="24"/>
          <w:szCs w:val="24"/>
        </w:rPr>
        <w:t>，所得测量数据如下（℃）：</w:t>
      </w:r>
      <w:bookmarkStart w:id="222" w:name="OLE_LINK4"/>
      <w:r>
        <w:rPr>
          <w:rFonts w:hint="eastAsia"/>
          <w:color w:val="000000"/>
          <w:sz w:val="24"/>
          <w:szCs w:val="24"/>
        </w:rPr>
        <w:t>50.22、50.13、49.92、50.01、50.06、50.13、50.24、50.05、50.02、49.93</w:t>
      </w:r>
      <w:bookmarkEnd w:id="222"/>
      <w:r>
        <w:rPr>
          <w:rFonts w:hint="eastAsia"/>
          <w:color w:val="000000"/>
          <w:sz w:val="24"/>
          <w:szCs w:val="24"/>
        </w:rPr>
        <w:t>。标准偏差</w:t>
      </w:r>
      <w:r>
        <w:rPr>
          <w:rFonts w:hint="eastAsia"/>
          <w:i/>
          <w:iCs/>
          <w:color w:val="000000"/>
          <w:sz w:val="24"/>
          <w:szCs w:val="24"/>
        </w:rPr>
        <w:t>s</w:t>
      </w:r>
      <w:r>
        <w:rPr>
          <w:rFonts w:hint="eastAsia"/>
          <w:color w:val="000000"/>
          <w:sz w:val="24"/>
          <w:szCs w:val="24"/>
        </w:rPr>
        <w:t>用式（C.3）计算：</w:t>
      </w:r>
    </w:p>
    <w:p w14:paraId="713310B7">
      <w:pPr>
        <w:adjustRightInd/>
        <w:spacing w:line="360" w:lineRule="auto"/>
        <w:jc w:val="right"/>
        <w:rPr>
          <w:color w:val="000000"/>
          <w:sz w:val="24"/>
          <w:szCs w:val="24"/>
        </w:rPr>
      </w:pPr>
      <w:r>
        <w:rPr>
          <w:color w:val="000000"/>
          <w:position w:val="-22"/>
          <w:sz w:val="24"/>
          <w:szCs w:val="24"/>
        </w:rPr>
        <w:object>
          <v:shape id="_x0000_i1052" o:spt="75" type="#_x0000_t75" style="height:51.95pt;width:128.5pt;" o:ole="t" filled="f" o:preferrelative="t" stroked="f" coordsize="21600,21600">
            <v:path/>
            <v:fill on="f" focussize="0,0"/>
            <v:stroke on="f" joinstyle="miter"/>
            <v:imagedata r:id="rId76" o:title=""/>
            <o:lock v:ext="edit" aspectratio="t"/>
            <w10:wrap type="none"/>
            <w10:anchorlock/>
          </v:shape>
          <o:OLEObject Type="Embed" ProgID="Equation.DSMT4" ShapeID="_x0000_i1052" DrawAspect="Content" ObjectID="_1468075753" r:id="rId75">
            <o:LockedField>false</o:LockedField>
          </o:OLEObject>
        </w:object>
      </w:r>
      <w:r>
        <w:rPr>
          <w:rFonts w:hint="eastAsia"/>
          <w:color w:val="000000"/>
          <w:sz w:val="24"/>
          <w:szCs w:val="24"/>
        </w:rPr>
        <w:t xml:space="preserve">                   （C.3）</w:t>
      </w:r>
    </w:p>
    <w:p w14:paraId="6F9BB64A">
      <w:pPr>
        <w:spacing w:line="360" w:lineRule="auto"/>
        <w:ind w:firstLine="480" w:firstLineChars="200"/>
        <w:rPr>
          <w:rFonts w:ascii="Times" w:hAnsi="Times" w:cs="Times"/>
          <w:sz w:val="24"/>
        </w:rPr>
      </w:pPr>
      <w:r>
        <w:rPr>
          <w:rFonts w:hint="eastAsia" w:ascii="Times" w:hAnsi="Times" w:cs="Times"/>
          <w:sz w:val="24"/>
        </w:rPr>
        <w:t>在实际校准中取3次的算术平均值为测量结果，则：</w:t>
      </w:r>
    </w:p>
    <w:p w14:paraId="43AD24D3">
      <w:pPr>
        <w:spacing w:line="300" w:lineRule="auto"/>
        <w:jc w:val="center"/>
        <w:rPr>
          <w:rFonts w:ascii="Times" w:hAnsi="Times" w:cs="Times"/>
          <w:sz w:val="24"/>
        </w:rPr>
      </w:pPr>
      <w:r>
        <w:rPr>
          <w:rFonts w:ascii="Times" w:hAnsi="Times" w:cs="Times"/>
          <w:position w:val="-28"/>
          <w:sz w:val="24"/>
        </w:rPr>
        <w:object>
          <v:shape id="_x0000_i1053" o:spt="75" type="#_x0000_t75" style="height:32.8pt;width:136.7pt;" o:ole="t" filled="f" o:preferrelative="t" stroked="f" coordsize="21600,21600">
            <v:path/>
            <v:fill on="f" focussize="0,0"/>
            <v:stroke on="f" joinstyle="miter"/>
            <v:imagedata r:id="rId78" o:title=""/>
            <o:lock v:ext="edit" aspectratio="t"/>
            <w10:wrap type="none"/>
            <w10:anchorlock/>
          </v:shape>
          <o:OLEObject Type="Embed" ProgID="Equation.DSMT4" ShapeID="_x0000_i1053" DrawAspect="Content" ObjectID="_1468075754" r:id="rId77">
            <o:LockedField>false</o:LockedField>
          </o:OLEObject>
        </w:object>
      </w:r>
    </w:p>
    <w:p w14:paraId="7F8FEA87">
      <w:pPr>
        <w:adjustRightInd/>
        <w:spacing w:line="360" w:lineRule="auto"/>
        <w:rPr>
          <w:rFonts w:eastAsiaTheme="minorEastAsia"/>
          <w:sz w:val="24"/>
          <w:szCs w:val="24"/>
        </w:rPr>
      </w:pPr>
      <w:r>
        <w:rPr>
          <w:rFonts w:hint="eastAsia"/>
          <w:color w:val="000000"/>
          <w:sz w:val="24"/>
          <w:szCs w:val="24"/>
        </w:rPr>
        <w:t>C</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w:t>
      </w:r>
      <w:r>
        <w:rPr>
          <w:color w:val="000000"/>
          <w:sz w:val="24"/>
          <w:szCs w:val="24"/>
        </w:rPr>
        <w:t>2</w:t>
      </w:r>
      <w:r>
        <w:rPr>
          <w:rFonts w:hint="eastAsia"/>
          <w:color w:val="000000"/>
          <w:sz w:val="24"/>
          <w:szCs w:val="24"/>
        </w:rPr>
        <w:t xml:space="preserve"> </w:t>
      </w:r>
      <w:r>
        <w:rPr>
          <w:rFonts w:hint="eastAsia" w:eastAsiaTheme="minorEastAsia"/>
          <w:color w:val="000000"/>
          <w:sz w:val="24"/>
          <w:szCs w:val="24"/>
        </w:rPr>
        <w:t>标准器分辨力引入的标准不确定度分量</w:t>
      </w:r>
      <w:r>
        <w:rPr>
          <w:rFonts w:hint="eastAsia" w:eastAsiaTheme="minorEastAsia"/>
          <w:i/>
          <w:iCs/>
          <w:color w:val="000000"/>
          <w:sz w:val="24"/>
          <w:szCs w:val="24"/>
        </w:rPr>
        <w:t>u</w:t>
      </w:r>
      <w:r>
        <w:rPr>
          <w:rFonts w:hint="eastAsia" w:eastAsiaTheme="minorEastAsia"/>
          <w:color w:val="000000"/>
          <w:sz w:val="24"/>
          <w:szCs w:val="24"/>
          <w:vertAlign w:val="subscript"/>
        </w:rPr>
        <w:t>2</w:t>
      </w:r>
    </w:p>
    <w:p w14:paraId="23A43D2C">
      <w:pPr>
        <w:adjustRightInd/>
        <w:spacing w:line="360" w:lineRule="auto"/>
        <w:ind w:firstLine="480" w:firstLineChars="200"/>
        <w:rPr>
          <w:rFonts w:eastAsiaTheme="minorEastAsia"/>
          <w:sz w:val="24"/>
          <w:szCs w:val="24"/>
        </w:rPr>
      </w:pPr>
      <w:r>
        <w:rPr>
          <w:rFonts w:hint="eastAsia" w:eastAsiaTheme="minorEastAsia"/>
          <w:sz w:val="24"/>
          <w:szCs w:val="24"/>
        </w:rPr>
        <w:t>标准器温度分辨力为0.01 ℃，不确定度区间半宽0.005 ℃，服从均匀分布，则分辨力引入的标准不确定度分量：</w:t>
      </w:r>
    </w:p>
    <w:p w14:paraId="4F254B08">
      <w:pPr>
        <w:adjustRightInd/>
        <w:spacing w:line="360" w:lineRule="auto"/>
        <w:jc w:val="center"/>
        <w:rPr>
          <w:rFonts w:eastAsiaTheme="minorEastAsia"/>
          <w:sz w:val="24"/>
          <w:szCs w:val="24"/>
        </w:rPr>
      </w:pPr>
      <w:r>
        <w:rPr>
          <w:rFonts w:eastAsiaTheme="minorEastAsia"/>
          <w:position w:val="-24"/>
          <w:sz w:val="24"/>
          <w:szCs w:val="24"/>
        </w:rPr>
        <w:object>
          <v:shape id="_x0000_i1054" o:spt="75" type="#_x0000_t75" style="height:35.55pt;width:123.5pt;" o:ole="t" filled="f" o:preferrelative="t" stroked="f" coordsize="21600,21600">
            <v:path/>
            <v:fill on="f" focussize="0,0"/>
            <v:stroke on="f" joinstyle="miter"/>
            <v:imagedata r:id="rId80" o:title=""/>
            <o:lock v:ext="edit" aspectratio="t"/>
            <w10:wrap type="none"/>
            <w10:anchorlock/>
          </v:shape>
          <o:OLEObject Type="Embed" ProgID="Equation.DSMT4" ShapeID="_x0000_i1054" DrawAspect="Content" ObjectID="_1468075755" r:id="rId79">
            <o:LockedField>false</o:LockedField>
          </o:OLEObject>
        </w:object>
      </w:r>
    </w:p>
    <w:p w14:paraId="2D0E734E">
      <w:pPr>
        <w:adjustRightInd/>
        <w:spacing w:line="360" w:lineRule="auto"/>
        <w:ind w:firstLine="480" w:firstLineChars="200"/>
        <w:rPr>
          <w:color w:val="000000"/>
          <w:sz w:val="24"/>
          <w:szCs w:val="24"/>
        </w:rPr>
      </w:pPr>
      <w:r>
        <w:rPr>
          <w:rFonts w:hint="eastAsia"/>
          <w:color w:val="000000"/>
          <w:sz w:val="24"/>
          <w:szCs w:val="24"/>
        </w:rPr>
        <w:t>标准不确定度</w:t>
      </w:r>
      <w:r>
        <w:rPr>
          <w:rFonts w:hint="eastAsia"/>
          <w:i/>
          <w:iCs/>
          <w:color w:val="000000"/>
          <w:sz w:val="24"/>
          <w:szCs w:val="24"/>
        </w:rPr>
        <w:t>u</w:t>
      </w:r>
      <w:r>
        <w:rPr>
          <w:rFonts w:hint="eastAsia"/>
          <w:color w:val="000000"/>
          <w:sz w:val="24"/>
          <w:szCs w:val="24"/>
          <w:vertAlign w:val="subscript"/>
        </w:rPr>
        <w:t>2</w:t>
      </w:r>
      <w:r>
        <w:rPr>
          <w:color w:val="000000"/>
          <w:sz w:val="24"/>
          <w:szCs w:val="24"/>
        </w:rPr>
        <w:t>&lt;</w:t>
      </w:r>
      <w:r>
        <w:rPr>
          <w:rFonts w:hint="eastAsia"/>
          <w:i/>
          <w:iCs/>
          <w:color w:val="000000"/>
          <w:sz w:val="24"/>
          <w:szCs w:val="24"/>
        </w:rPr>
        <w:t xml:space="preserve"> u</w:t>
      </w:r>
      <w:r>
        <w:rPr>
          <w:rFonts w:hint="eastAsia"/>
          <w:color w:val="000000"/>
          <w:sz w:val="24"/>
          <w:szCs w:val="24"/>
          <w:vertAlign w:val="subscript"/>
        </w:rPr>
        <w:t>1</w:t>
      </w:r>
      <w:r>
        <w:rPr>
          <w:rFonts w:hint="eastAsia"/>
          <w:color w:val="000000"/>
          <w:sz w:val="24"/>
          <w:szCs w:val="24"/>
        </w:rPr>
        <w:t>，则标准器分辨力引入的标准不确定度可忽略。</w:t>
      </w:r>
    </w:p>
    <w:p w14:paraId="15824FDA">
      <w:pPr>
        <w:adjustRightInd/>
        <w:spacing w:line="360" w:lineRule="auto"/>
        <w:rPr>
          <w:rFonts w:eastAsiaTheme="minorEastAsia"/>
          <w:sz w:val="24"/>
          <w:szCs w:val="24"/>
        </w:rPr>
      </w:pPr>
      <w:r>
        <w:rPr>
          <w:rFonts w:hint="eastAsia"/>
          <w:color w:val="000000"/>
          <w:sz w:val="24"/>
          <w:szCs w:val="24"/>
        </w:rPr>
        <w:t>C</w:t>
      </w:r>
      <w:r>
        <w:rPr>
          <w:color w:val="000000"/>
          <w:sz w:val="24"/>
          <w:szCs w:val="24"/>
        </w:rPr>
        <w:t>.</w:t>
      </w:r>
      <w:r>
        <w:rPr>
          <w:rFonts w:hint="eastAsia"/>
          <w:color w:val="000000"/>
          <w:sz w:val="24"/>
          <w:szCs w:val="24"/>
        </w:rPr>
        <w:t>4.1</w:t>
      </w:r>
      <w:r>
        <w:rPr>
          <w:color w:val="000000"/>
          <w:sz w:val="24"/>
          <w:szCs w:val="24"/>
        </w:rPr>
        <w:t>.</w:t>
      </w:r>
      <w:r>
        <w:rPr>
          <w:rFonts w:hint="eastAsia"/>
          <w:color w:val="000000"/>
          <w:sz w:val="24"/>
          <w:szCs w:val="24"/>
        </w:rPr>
        <w:t xml:space="preserve">3 </w:t>
      </w:r>
      <w:r>
        <w:rPr>
          <w:rFonts w:hint="eastAsia" w:eastAsiaTheme="minorEastAsia"/>
          <w:color w:val="000000"/>
          <w:sz w:val="24"/>
          <w:szCs w:val="24"/>
        </w:rPr>
        <w:t>标准器修正值引入的标准不确定度分量</w:t>
      </w:r>
      <w:r>
        <w:rPr>
          <w:rFonts w:hint="eastAsia" w:eastAsiaTheme="minorEastAsia"/>
          <w:i/>
          <w:iCs/>
          <w:color w:val="000000"/>
          <w:sz w:val="24"/>
          <w:szCs w:val="24"/>
        </w:rPr>
        <w:t>u</w:t>
      </w:r>
      <w:r>
        <w:rPr>
          <w:rFonts w:hint="eastAsia" w:eastAsiaTheme="minorEastAsia"/>
          <w:color w:val="000000"/>
          <w:sz w:val="24"/>
          <w:szCs w:val="24"/>
          <w:vertAlign w:val="subscript"/>
        </w:rPr>
        <w:t>3</w:t>
      </w:r>
    </w:p>
    <w:p w14:paraId="6B902FAF">
      <w:pPr>
        <w:adjustRightInd/>
        <w:spacing w:line="360" w:lineRule="auto"/>
        <w:ind w:firstLine="480" w:firstLineChars="200"/>
        <w:rPr>
          <w:sz w:val="24"/>
        </w:rPr>
      </w:pPr>
      <w:r>
        <w:rPr>
          <w:sz w:val="24"/>
        </w:rPr>
        <w:t>由标准器证书查得，</w:t>
      </w:r>
      <w:r>
        <w:rPr>
          <w:rFonts w:hint="eastAsia"/>
          <w:sz w:val="24"/>
        </w:rPr>
        <w:t>标准器温度修正值的</w:t>
      </w:r>
      <w:r>
        <w:rPr>
          <w:sz w:val="24"/>
        </w:rPr>
        <w:t>扩展不确定度为</w:t>
      </w:r>
      <w:r>
        <w:rPr>
          <w:i/>
          <w:iCs/>
          <w:sz w:val="24"/>
        </w:rPr>
        <w:t>U</w:t>
      </w:r>
      <w:r>
        <w:rPr>
          <w:sz w:val="24"/>
        </w:rPr>
        <w:t>=0.06</w:t>
      </w:r>
      <w:r>
        <w:rPr>
          <w:rFonts w:hint="eastAsia"/>
          <w:sz w:val="24"/>
        </w:rPr>
        <w:t xml:space="preserve"> </w:t>
      </w:r>
      <w:r>
        <w:rPr>
          <w:sz w:val="24"/>
        </w:rPr>
        <w:t>℃，</w:t>
      </w:r>
      <w:r>
        <w:rPr>
          <w:i/>
          <w:iCs/>
          <w:sz w:val="24"/>
        </w:rPr>
        <w:t>k</w:t>
      </w:r>
      <w:r>
        <w:rPr>
          <w:sz w:val="24"/>
        </w:rPr>
        <w:t>=2，</w:t>
      </w:r>
      <w:r>
        <w:rPr>
          <w:rFonts w:hint="eastAsia"/>
          <w:sz w:val="24"/>
        </w:rPr>
        <w:t>则标准器修正值引入的标准不确定度分量：</w:t>
      </w:r>
    </w:p>
    <w:p w14:paraId="7E5502F2">
      <w:pPr>
        <w:adjustRightInd/>
        <w:spacing w:line="360" w:lineRule="auto"/>
        <w:jc w:val="center"/>
        <w:rPr>
          <w:color w:val="000000"/>
          <w:sz w:val="24"/>
          <w:szCs w:val="24"/>
        </w:rPr>
      </w:pPr>
      <w:r>
        <w:rPr>
          <w:position w:val="-22"/>
          <w:sz w:val="24"/>
        </w:rPr>
        <w:object>
          <v:shape id="_x0000_i1055" o:spt="75" type="#_x0000_t75" style="height:34.2pt;width:135.3pt;" o:ole="t" filled="f" o:preferrelative="t" stroked="f" coordsize="21600,21600">
            <v:path/>
            <v:fill on="f" focussize="0,0"/>
            <v:stroke on="f" joinstyle="miter"/>
            <v:imagedata r:id="rId82" o:title=""/>
            <o:lock v:ext="edit" aspectratio="t"/>
            <w10:wrap type="none"/>
            <w10:anchorlock/>
          </v:shape>
          <o:OLEObject Type="Embed" ProgID="Equation.DSMT4" ShapeID="_x0000_i1055" DrawAspect="Content" ObjectID="_1468075756" r:id="rId81">
            <o:LockedField>false</o:LockedField>
          </o:OLEObject>
        </w:object>
      </w:r>
      <w:r>
        <w:rPr>
          <w:sz w:val="24"/>
        </w:rPr>
        <w:t xml:space="preserve"> </w:t>
      </w:r>
    </w:p>
    <w:p w14:paraId="2FA6C43B">
      <w:pPr>
        <w:spacing w:line="360" w:lineRule="auto"/>
        <w:rPr>
          <w:rFonts w:eastAsiaTheme="minorEastAsia"/>
          <w:sz w:val="24"/>
          <w:szCs w:val="24"/>
        </w:rPr>
      </w:pPr>
      <w:r>
        <w:rPr>
          <w:rFonts w:hint="eastAsia"/>
          <w:color w:val="000000"/>
          <w:sz w:val="24"/>
          <w:szCs w:val="24"/>
        </w:rPr>
        <w:t>C</w:t>
      </w:r>
      <w:r>
        <w:rPr>
          <w:color w:val="000000"/>
          <w:sz w:val="24"/>
          <w:szCs w:val="24"/>
        </w:rPr>
        <w:t>.</w:t>
      </w:r>
      <w:r>
        <w:rPr>
          <w:rFonts w:hint="eastAsia"/>
          <w:color w:val="000000"/>
          <w:sz w:val="24"/>
          <w:szCs w:val="24"/>
        </w:rPr>
        <w:t>4.1</w:t>
      </w:r>
      <w:r>
        <w:rPr>
          <w:color w:val="000000"/>
          <w:sz w:val="24"/>
          <w:szCs w:val="24"/>
        </w:rPr>
        <w:t>.</w:t>
      </w:r>
      <w:r>
        <w:rPr>
          <w:rFonts w:hint="eastAsia"/>
          <w:color w:val="000000"/>
          <w:sz w:val="24"/>
          <w:szCs w:val="24"/>
        </w:rPr>
        <w:t>4 标准器稳定性引入的标准不确定度分量</w:t>
      </w:r>
      <w:r>
        <w:rPr>
          <w:rFonts w:hint="eastAsia" w:eastAsiaTheme="minorEastAsia"/>
          <w:i/>
          <w:iCs/>
          <w:color w:val="000000"/>
          <w:sz w:val="24"/>
          <w:szCs w:val="24"/>
        </w:rPr>
        <w:t>u</w:t>
      </w:r>
      <w:r>
        <w:rPr>
          <w:rFonts w:hint="eastAsia" w:eastAsiaTheme="minorEastAsia"/>
          <w:color w:val="000000"/>
          <w:sz w:val="24"/>
          <w:szCs w:val="24"/>
          <w:vertAlign w:val="subscript"/>
        </w:rPr>
        <w:t>4</w:t>
      </w:r>
    </w:p>
    <w:p w14:paraId="0F54F529">
      <w:pPr>
        <w:spacing w:line="360" w:lineRule="auto"/>
        <w:ind w:firstLine="480" w:firstLineChars="200"/>
        <w:rPr>
          <w:sz w:val="24"/>
          <w:szCs w:val="24"/>
        </w:rPr>
      </w:pPr>
      <w:r>
        <w:rPr>
          <w:rFonts w:hint="eastAsia"/>
          <w:sz w:val="24"/>
          <w:szCs w:val="24"/>
        </w:rPr>
        <w:t>本标准器相邻两次校准温度修正值最大变化为0.10℃，按均匀分布，由此引入的标准不确定度分量：</w:t>
      </w:r>
    </w:p>
    <w:p w14:paraId="4C42500B">
      <w:pPr>
        <w:spacing w:line="360" w:lineRule="auto"/>
        <w:jc w:val="center"/>
        <w:rPr>
          <w:sz w:val="24"/>
        </w:rPr>
      </w:pPr>
      <w:r>
        <w:rPr>
          <w:position w:val="-24"/>
          <w:sz w:val="24"/>
        </w:rPr>
        <w:object>
          <v:shape id="_x0000_i1056" o:spt="75" type="#_x0000_t75" style="height:35.55pt;width:111.65pt;" o:ole="t" filled="f" o:preferrelative="t" stroked="f" coordsize="21600,21600">
            <v:path/>
            <v:fill on="f" focussize="0,0"/>
            <v:stroke on="f" joinstyle="miter"/>
            <v:imagedata r:id="rId84" o:title=""/>
            <o:lock v:ext="edit" aspectratio="t"/>
            <w10:wrap type="none"/>
            <w10:anchorlock/>
          </v:shape>
          <o:OLEObject Type="Embed" ProgID="Equation.DSMT4" ShapeID="_x0000_i1056" DrawAspect="Content" ObjectID="_1468075757" r:id="rId83">
            <o:LockedField>false</o:LockedField>
          </o:OLEObject>
        </w:object>
      </w:r>
    </w:p>
    <w:p w14:paraId="29936B9A">
      <w:pPr>
        <w:spacing w:line="360" w:lineRule="auto"/>
        <w:rPr>
          <w:color w:val="000000"/>
          <w:sz w:val="24"/>
          <w:szCs w:val="24"/>
        </w:rPr>
      </w:pPr>
      <w:r>
        <w:rPr>
          <w:rFonts w:hint="eastAsia"/>
          <w:color w:val="000000"/>
          <w:sz w:val="24"/>
          <w:szCs w:val="24"/>
        </w:rPr>
        <w:t>C</w:t>
      </w:r>
      <w:r>
        <w:rPr>
          <w:color w:val="000000"/>
          <w:sz w:val="24"/>
          <w:szCs w:val="24"/>
        </w:rPr>
        <w:t>.</w:t>
      </w:r>
      <w:r>
        <w:rPr>
          <w:rFonts w:hint="eastAsia"/>
          <w:color w:val="000000"/>
          <w:sz w:val="24"/>
          <w:szCs w:val="24"/>
        </w:rPr>
        <w:t>4.1</w:t>
      </w:r>
      <w:r>
        <w:rPr>
          <w:color w:val="000000"/>
          <w:sz w:val="24"/>
          <w:szCs w:val="24"/>
        </w:rPr>
        <w:t>.</w:t>
      </w:r>
      <w:r>
        <w:rPr>
          <w:rFonts w:hint="eastAsia"/>
          <w:color w:val="000000"/>
          <w:sz w:val="24"/>
          <w:szCs w:val="24"/>
        </w:rPr>
        <w:t>5 测量值的标准不确度</w:t>
      </w:r>
    </w:p>
    <w:p w14:paraId="32BF6485">
      <w:pPr>
        <w:adjustRightInd/>
        <w:spacing w:line="360" w:lineRule="auto"/>
        <w:ind w:right="119" w:firstLine="480" w:firstLineChars="200"/>
        <w:rPr>
          <w:color w:val="000000"/>
          <w:sz w:val="24"/>
          <w:szCs w:val="24"/>
        </w:rPr>
      </w:pPr>
      <w:r>
        <w:rPr>
          <w:rFonts w:hint="eastAsia"/>
          <w:color w:val="000000"/>
          <w:sz w:val="24"/>
          <w:szCs w:val="24"/>
        </w:rPr>
        <w:t>测量值的标准不确定度通过以下公式获得：</w:t>
      </w:r>
    </w:p>
    <w:p w14:paraId="2A225B7F">
      <w:pPr>
        <w:spacing w:line="360" w:lineRule="auto"/>
        <w:ind w:firstLine="480" w:firstLineChars="200"/>
        <w:jc w:val="center"/>
        <w:rPr>
          <w:color w:val="000000"/>
          <w:sz w:val="24"/>
          <w:szCs w:val="24"/>
        </w:rPr>
      </w:pPr>
      <w:r>
        <w:rPr>
          <w:color w:val="000000"/>
          <w:position w:val="-38"/>
          <w:sz w:val="24"/>
          <w:szCs w:val="24"/>
        </w:rPr>
        <w:object>
          <v:shape id="_x0000_i1057" o:spt="75" type="#_x0000_t75" style="height:52.4pt;width:304.75pt;" o:ole="t" filled="f" o:preferrelative="t" stroked="f" coordsize="21600,21600">
            <v:path/>
            <v:fill on="f" focussize="0,0"/>
            <v:stroke on="f" joinstyle="miter"/>
            <v:imagedata r:id="rId86" o:title=""/>
            <o:lock v:ext="edit" aspectratio="t"/>
            <w10:wrap type="none"/>
            <w10:anchorlock/>
          </v:shape>
          <o:OLEObject Type="Embed" ProgID="Equation.DSMT4" ShapeID="_x0000_i1057" DrawAspect="Content" ObjectID="_1468075758" r:id="rId85">
            <o:LockedField>false</o:LockedField>
          </o:OLEObject>
        </w:object>
      </w:r>
    </w:p>
    <w:p w14:paraId="66F491C5">
      <w:pPr>
        <w:adjustRightInd/>
        <w:spacing w:line="360" w:lineRule="auto"/>
        <w:rPr>
          <w:color w:val="000000"/>
          <w:sz w:val="24"/>
          <w:szCs w:val="24"/>
        </w:rPr>
      </w:pPr>
      <w:r>
        <w:rPr>
          <w:rFonts w:hint="eastAsia"/>
          <w:color w:val="000000"/>
          <w:sz w:val="24"/>
          <w:szCs w:val="24"/>
        </w:rPr>
        <w:t>C</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2 被校对象设定值的标准不确度</w:t>
      </w:r>
      <w:bookmarkStart w:id="223" w:name="_Hlk207630680"/>
      <w:r>
        <w:rPr>
          <w:position w:val="-12"/>
          <w:sz w:val="24"/>
        </w:rPr>
        <w:object>
          <v:shape id="_x0000_i1058" o:spt="75" type="#_x0000_t75" style="height:20.4pt;width:34.7pt;" o:ole="t" filled="f" o:preferrelative="t" stroked="f" coordsize="21600,21600">
            <v:path/>
            <v:fill on="f" focussize="0,0"/>
            <v:stroke on="f" joinstyle="miter"/>
            <v:imagedata r:id="rId88" o:title=""/>
            <o:lock v:ext="edit" aspectratio="t"/>
            <w10:wrap type="none"/>
            <w10:anchorlock/>
          </v:shape>
          <o:OLEObject Type="Embed" ProgID="Equation.DSMT4" ShapeID="_x0000_i1058" DrawAspect="Content" ObjectID="_1468075759" r:id="rId87">
            <o:LockedField>false</o:LockedField>
          </o:OLEObject>
        </w:object>
      </w:r>
      <w:bookmarkEnd w:id="223"/>
    </w:p>
    <w:p w14:paraId="4C8C751A">
      <w:pPr>
        <w:adjustRightInd/>
        <w:spacing w:line="360" w:lineRule="auto"/>
        <w:ind w:firstLine="480" w:firstLineChars="200"/>
        <w:rPr>
          <w:rFonts w:eastAsiaTheme="minorEastAsia"/>
          <w:sz w:val="24"/>
          <w:szCs w:val="24"/>
        </w:rPr>
      </w:pPr>
      <w:r>
        <w:rPr>
          <w:rFonts w:hint="eastAsia"/>
          <w:sz w:val="24"/>
          <w:szCs w:val="24"/>
        </w:rPr>
        <w:t>被校对象设定值的标准不确定度主要由被校对象分辨力引入。</w:t>
      </w:r>
      <w:r>
        <w:rPr>
          <w:rFonts w:hint="eastAsia" w:eastAsiaTheme="minorEastAsia"/>
          <w:sz w:val="24"/>
          <w:szCs w:val="24"/>
        </w:rPr>
        <w:t xml:space="preserve">被校对象温度分辨力为0.1 </w:t>
      </w:r>
      <w:r>
        <w:rPr>
          <w:rFonts w:eastAsiaTheme="minorEastAsia"/>
          <w:sz w:val="24"/>
          <w:szCs w:val="24"/>
        </w:rPr>
        <w:t>℃</w:t>
      </w:r>
      <w:r>
        <w:rPr>
          <w:rFonts w:hint="eastAsia" w:eastAsiaTheme="minorEastAsia"/>
          <w:sz w:val="24"/>
          <w:szCs w:val="24"/>
        </w:rPr>
        <w:t xml:space="preserve">，不确定度区间半宽0.05 </w:t>
      </w:r>
      <w:r>
        <w:rPr>
          <w:rFonts w:eastAsiaTheme="minorEastAsia"/>
          <w:sz w:val="24"/>
          <w:szCs w:val="24"/>
        </w:rPr>
        <w:t>℃</w:t>
      </w:r>
      <w:r>
        <w:rPr>
          <w:rFonts w:hint="eastAsia" w:eastAsiaTheme="minorEastAsia"/>
          <w:sz w:val="24"/>
          <w:szCs w:val="24"/>
        </w:rPr>
        <w:t>，服从均匀分布，则分辨力引入的标准不确定度：</w:t>
      </w:r>
    </w:p>
    <w:p w14:paraId="437553B1">
      <w:pPr>
        <w:adjustRightInd/>
        <w:spacing w:line="360" w:lineRule="auto"/>
        <w:jc w:val="center"/>
        <w:rPr>
          <w:rFonts w:eastAsiaTheme="minorEastAsia"/>
          <w:sz w:val="24"/>
          <w:szCs w:val="24"/>
        </w:rPr>
      </w:pPr>
      <w:bookmarkStart w:id="224" w:name="_Hlk207630690"/>
      <w:r>
        <w:rPr>
          <w:rFonts w:eastAsiaTheme="minorEastAsia"/>
          <w:position w:val="-24"/>
          <w:sz w:val="24"/>
          <w:szCs w:val="24"/>
        </w:rPr>
        <w:object>
          <v:shape id="_x0000_i1059" o:spt="75" type="#_x0000_t75" style="height:35.55pt;width:132pt;" o:ole="t" filled="f" o:preferrelative="t" stroked="f" coordsize="21600,21600">
            <v:path/>
            <v:fill on="f" focussize="0,0"/>
            <v:stroke on="f" joinstyle="miter"/>
            <v:imagedata r:id="rId90" o:title=""/>
            <o:lock v:ext="edit" aspectratio="t"/>
            <w10:wrap type="none"/>
            <w10:anchorlock/>
          </v:shape>
          <o:OLEObject Type="Embed" ProgID="Equation.DSMT4" ShapeID="_x0000_i1059" DrawAspect="Content" ObjectID="_1468075760" r:id="rId89">
            <o:LockedField>false</o:LockedField>
          </o:OLEObject>
        </w:object>
      </w:r>
      <w:bookmarkEnd w:id="224"/>
    </w:p>
    <w:p w14:paraId="3D201C78">
      <w:pPr>
        <w:spacing w:line="360" w:lineRule="auto"/>
        <w:rPr>
          <w:rFonts w:eastAsia="黑体"/>
          <w:color w:val="000000"/>
          <w:sz w:val="24"/>
          <w:szCs w:val="24"/>
        </w:rPr>
      </w:pPr>
      <w:r>
        <w:rPr>
          <w:rFonts w:hint="eastAsia"/>
          <w:color w:val="000000"/>
          <w:sz w:val="24"/>
          <w:szCs w:val="24"/>
        </w:rPr>
        <w:t>C</w:t>
      </w:r>
      <w:r>
        <w:rPr>
          <w:color w:val="000000"/>
          <w:sz w:val="24"/>
          <w:szCs w:val="24"/>
        </w:rPr>
        <w:t>.5</w:t>
      </w:r>
      <w:r>
        <w:rPr>
          <w:rFonts w:hint="eastAsia"/>
          <w:color w:val="000000"/>
          <w:sz w:val="24"/>
          <w:szCs w:val="24"/>
        </w:rPr>
        <w:t xml:space="preserve"> </w:t>
      </w:r>
      <w:r>
        <w:rPr>
          <w:rFonts w:eastAsia="黑体"/>
          <w:color w:val="000000"/>
          <w:sz w:val="24"/>
          <w:szCs w:val="24"/>
        </w:rPr>
        <w:t>合成</w:t>
      </w:r>
      <w:r>
        <w:rPr>
          <w:rFonts w:hint="eastAsia" w:eastAsia="黑体"/>
          <w:color w:val="000000"/>
          <w:sz w:val="24"/>
          <w:szCs w:val="24"/>
        </w:rPr>
        <w:t>标准不确定度</w:t>
      </w:r>
    </w:p>
    <w:p w14:paraId="13F101BC">
      <w:pPr>
        <w:spacing w:line="360" w:lineRule="auto"/>
        <w:ind w:firstLine="480" w:firstLineChars="200"/>
        <w:rPr>
          <w:rFonts w:eastAsiaTheme="minorEastAsia"/>
          <w:color w:val="000000"/>
          <w:sz w:val="24"/>
          <w:szCs w:val="24"/>
        </w:rPr>
      </w:pPr>
      <w:r>
        <w:rPr>
          <w:rFonts w:hint="eastAsia" w:eastAsiaTheme="minorEastAsia"/>
          <w:color w:val="000000"/>
          <w:sz w:val="24"/>
          <w:szCs w:val="24"/>
        </w:rPr>
        <w:t>合成标准不确定度</w:t>
      </w:r>
      <w:r>
        <w:rPr>
          <w:position w:val="-12"/>
          <w:sz w:val="24"/>
        </w:rPr>
        <w:object>
          <v:shape id="_x0000_i1060" o:spt="75" type="#_x0000_t75" style="height:20.4pt;width:43.45pt;" o:ole="t" filled="f" o:preferrelative="t" stroked="f" coordsize="21600,21600">
            <v:path/>
            <v:fill on="f" focussize="0,0"/>
            <v:stroke on="f" joinstyle="miter"/>
            <v:imagedata r:id="rId92" o:title=""/>
            <o:lock v:ext="edit" aspectratio="t"/>
            <w10:wrap type="none"/>
            <w10:anchorlock/>
          </v:shape>
          <o:OLEObject Type="Embed" ProgID="Equation.DSMT4" ShapeID="_x0000_i1060" DrawAspect="Content" ObjectID="_1468075761" r:id="rId91">
            <o:LockedField>false</o:LockedField>
          </o:OLEObject>
        </w:object>
      </w:r>
      <w:r>
        <w:rPr>
          <w:rFonts w:eastAsiaTheme="minorEastAsia"/>
          <w:color w:val="000000"/>
          <w:sz w:val="24"/>
          <w:szCs w:val="24"/>
        </w:rPr>
        <w:t>按式（</w:t>
      </w:r>
      <w:r>
        <w:rPr>
          <w:rFonts w:hint="eastAsia" w:eastAsiaTheme="minorEastAsia"/>
          <w:color w:val="000000"/>
          <w:sz w:val="24"/>
          <w:szCs w:val="24"/>
        </w:rPr>
        <w:t>C</w:t>
      </w:r>
      <w:r>
        <w:rPr>
          <w:rFonts w:eastAsiaTheme="minorEastAsia"/>
          <w:color w:val="000000"/>
          <w:sz w:val="24"/>
          <w:szCs w:val="24"/>
        </w:rPr>
        <w:t>.</w:t>
      </w:r>
      <w:r>
        <w:rPr>
          <w:rFonts w:hint="eastAsia" w:eastAsiaTheme="minorEastAsia"/>
          <w:color w:val="000000"/>
          <w:sz w:val="24"/>
          <w:szCs w:val="24"/>
        </w:rPr>
        <w:t>2</w:t>
      </w:r>
      <w:r>
        <w:rPr>
          <w:rFonts w:eastAsiaTheme="minorEastAsia"/>
          <w:color w:val="000000"/>
          <w:sz w:val="24"/>
          <w:szCs w:val="24"/>
        </w:rPr>
        <w:t>）计算：</w:t>
      </w:r>
    </w:p>
    <w:p w14:paraId="77C79D9C">
      <w:pPr>
        <w:spacing w:line="360" w:lineRule="auto"/>
        <w:jc w:val="center"/>
        <w:rPr>
          <w:rFonts w:eastAsiaTheme="minorEastAsia"/>
          <w:color w:val="000000"/>
          <w:sz w:val="24"/>
          <w:szCs w:val="24"/>
        </w:rPr>
      </w:pPr>
      <w:r>
        <w:rPr>
          <w:position w:val="-42"/>
          <w:sz w:val="24"/>
        </w:rPr>
        <w:object>
          <v:shape id="_x0000_i1061" o:spt="75" type="#_x0000_t75" style="height:56.5pt;width:247.6pt;" o:ole="t" filled="f" o:preferrelative="t" stroked="f" coordsize="21600,21600">
            <v:path/>
            <v:fill on="f" focussize="0,0"/>
            <v:stroke on="f" joinstyle="miter"/>
            <v:imagedata r:id="rId94" o:title=""/>
            <o:lock v:ext="edit" aspectratio="t"/>
            <w10:wrap type="none"/>
            <w10:anchorlock/>
          </v:shape>
          <o:OLEObject Type="Embed" ProgID="Equation.DSMT4" ShapeID="_x0000_i1061" DrawAspect="Content" ObjectID="_1468075762" r:id="rId93">
            <o:LockedField>false</o:LockedField>
          </o:OLEObject>
        </w:object>
      </w:r>
    </w:p>
    <w:p w14:paraId="62084796">
      <w:pPr>
        <w:pStyle w:val="21"/>
        <w:tabs>
          <w:tab w:val="left" w:pos="425"/>
        </w:tabs>
        <w:spacing w:before="120" w:after="120" w:line="360" w:lineRule="auto"/>
        <w:ind w:left="0" w:right="221" w:firstLine="0"/>
        <w:rPr>
          <w:color w:val="000000"/>
          <w:sz w:val="24"/>
          <w:szCs w:val="24"/>
        </w:rPr>
      </w:pPr>
      <w:r>
        <w:rPr>
          <w:rFonts w:hint="eastAsia" w:eastAsia="黑体"/>
          <w:color w:val="000000"/>
          <w:sz w:val="24"/>
          <w:szCs w:val="24"/>
        </w:rPr>
        <w:t>C</w:t>
      </w:r>
      <w:r>
        <w:rPr>
          <w:rFonts w:eastAsia="黑体"/>
          <w:color w:val="000000"/>
          <w:sz w:val="24"/>
          <w:szCs w:val="24"/>
        </w:rPr>
        <w:t>.6</w:t>
      </w:r>
      <w:r>
        <w:rPr>
          <w:rFonts w:hint="eastAsia" w:eastAsia="黑体"/>
          <w:color w:val="000000"/>
          <w:sz w:val="24"/>
          <w:szCs w:val="24"/>
        </w:rPr>
        <w:t xml:space="preserve"> </w:t>
      </w:r>
      <w:r>
        <w:rPr>
          <w:rFonts w:eastAsia="黑体"/>
          <w:color w:val="000000"/>
          <w:sz w:val="24"/>
          <w:szCs w:val="24"/>
        </w:rPr>
        <w:t>扩展不确定度</w:t>
      </w:r>
    </w:p>
    <w:p w14:paraId="72AF3B94">
      <w:pPr>
        <w:pStyle w:val="21"/>
        <w:tabs>
          <w:tab w:val="left" w:pos="425"/>
        </w:tabs>
        <w:adjustRightInd w:val="0"/>
        <w:spacing w:before="120" w:after="120" w:line="360" w:lineRule="auto"/>
        <w:ind w:left="0" w:right="221" w:firstLine="480" w:firstLineChars="200"/>
        <w:rPr>
          <w:color w:val="000000"/>
          <w:sz w:val="24"/>
          <w:szCs w:val="24"/>
        </w:rPr>
      </w:pPr>
      <w:r>
        <w:rPr>
          <w:color w:val="000000"/>
          <w:sz w:val="24"/>
          <w:szCs w:val="24"/>
        </w:rPr>
        <w:t>取</w:t>
      </w:r>
      <w:r>
        <w:rPr>
          <w:rFonts w:hint="eastAsia"/>
          <w:color w:val="000000"/>
          <w:sz w:val="24"/>
          <w:szCs w:val="24"/>
        </w:rPr>
        <w:t>包含</w:t>
      </w:r>
      <w:r>
        <w:rPr>
          <w:color w:val="000000"/>
          <w:sz w:val="24"/>
          <w:szCs w:val="24"/>
        </w:rPr>
        <w:t>因子</w:t>
      </w:r>
      <w:r>
        <w:rPr>
          <w:i/>
          <w:color w:val="000000"/>
          <w:sz w:val="24"/>
          <w:szCs w:val="24"/>
        </w:rPr>
        <w:t>k</w:t>
      </w:r>
      <w:r>
        <w:rPr>
          <w:color w:val="000000"/>
          <w:sz w:val="24"/>
          <w:szCs w:val="24"/>
        </w:rPr>
        <w:t>=2，</w:t>
      </w:r>
      <w:r>
        <w:rPr>
          <w:rFonts w:hint="eastAsia"/>
          <w:sz w:val="24"/>
          <w:szCs w:val="24"/>
        </w:rPr>
        <w:t>该校准点温度示值误差校准结果的扩展不确定度为：</w:t>
      </w:r>
    </w:p>
    <w:p w14:paraId="478D80CB">
      <w:pPr>
        <w:pStyle w:val="21"/>
        <w:tabs>
          <w:tab w:val="left" w:pos="425"/>
        </w:tabs>
        <w:adjustRightInd w:val="0"/>
        <w:spacing w:before="120" w:after="120" w:line="360" w:lineRule="auto"/>
        <w:ind w:left="0" w:right="221" w:firstLine="480" w:firstLineChars="200"/>
        <w:jc w:val="center"/>
        <w:rPr>
          <w:rFonts w:hAnsi="Cambria Math"/>
          <w:i/>
          <w:iCs/>
          <w:sz w:val="24"/>
          <w:szCs w:val="24"/>
        </w:rPr>
      </w:pPr>
      <w:r>
        <w:rPr>
          <w:rFonts w:hAnsi="Cambria Math"/>
          <w:i/>
          <w:iCs/>
          <w:position w:val="-12"/>
          <w:sz w:val="24"/>
          <w:szCs w:val="24"/>
        </w:rPr>
        <w:object>
          <v:shape id="_x0000_i1062" o:spt="75" type="#_x0000_t75" style="height:21.85pt;width:176.4pt;" o:ole="t" filled="f" o:preferrelative="t" stroked="f" coordsize="21600,21600">
            <v:path/>
            <v:fill on="f" focussize="0,0"/>
            <v:stroke on="f" joinstyle="miter"/>
            <v:imagedata r:id="rId96" o:title=""/>
            <o:lock v:ext="edit" aspectratio="t"/>
            <w10:wrap type="none"/>
            <w10:anchorlock/>
          </v:shape>
          <o:OLEObject Type="Embed" ProgID="Equation.DSMT4" ShapeID="_x0000_i1062" DrawAspect="Content" ObjectID="_1468075763" r:id="rId95">
            <o:LockedField>false</o:LockedField>
          </o:OLEObject>
        </w:object>
      </w:r>
    </w:p>
    <w:bookmarkEnd w:id="215"/>
    <w:p w14:paraId="1A92D878">
      <w:pPr>
        <w:widowControl/>
        <w:adjustRightInd/>
        <w:spacing w:line="240" w:lineRule="auto"/>
        <w:jc w:val="left"/>
        <w:rPr>
          <w:rFonts w:hAnsi="Cambria Math"/>
          <w:i/>
          <w:iCs/>
          <w:sz w:val="24"/>
          <w:szCs w:val="24"/>
        </w:rPr>
      </w:pPr>
      <w:r>
        <w:rPr>
          <w:rFonts w:hAnsi="Cambria Math"/>
          <w:i/>
          <w:iCs/>
          <w:sz w:val="24"/>
          <w:szCs w:val="24"/>
        </w:rPr>
        <w:br w:type="page"/>
      </w:r>
    </w:p>
    <w:p w14:paraId="0E873C94">
      <w:pPr>
        <w:pStyle w:val="146"/>
        <w:spacing w:line="300" w:lineRule="auto"/>
        <w:jc w:val="left"/>
        <w:rPr>
          <w:rFonts w:ascii="Times New Roman"/>
          <w:color w:val="000000"/>
          <w:sz w:val="28"/>
          <w:szCs w:val="28"/>
        </w:rPr>
      </w:pPr>
      <w:bookmarkStart w:id="225" w:name="_Toc196840024"/>
      <w:r>
        <w:rPr>
          <w:rFonts w:hint="eastAsia" w:ascii="Times New Roman"/>
          <w:color w:val="000000"/>
          <w:sz w:val="28"/>
          <w:szCs w:val="28"/>
        </w:rPr>
        <w:t>附录D</w:t>
      </w:r>
      <w:bookmarkEnd w:id="225"/>
    </w:p>
    <w:p w14:paraId="752BAA17">
      <w:pPr>
        <w:spacing w:line="360" w:lineRule="auto"/>
        <w:jc w:val="center"/>
        <w:rPr>
          <w:color w:val="000000"/>
          <w:sz w:val="30"/>
          <w:szCs w:val="30"/>
        </w:rPr>
      </w:pPr>
      <w:r>
        <w:rPr>
          <w:rFonts w:hint="eastAsia" w:ascii="黑体" w:hAnsi="黑体" w:eastAsia="黑体" w:cs="黑体"/>
          <w:sz w:val="30"/>
          <w:szCs w:val="30"/>
        </w:rPr>
        <w:t>压力示值误差测量结果的不确定度评定示例</w:t>
      </w:r>
    </w:p>
    <w:p w14:paraId="27293AA1">
      <w:pPr>
        <w:spacing w:before="120" w:after="120" w:line="360" w:lineRule="auto"/>
        <w:rPr>
          <w:rFonts w:eastAsia="黑体"/>
          <w:color w:val="000000"/>
          <w:sz w:val="24"/>
          <w:szCs w:val="24"/>
        </w:rPr>
      </w:pPr>
      <w:bookmarkStart w:id="226" w:name="_Hlk204616915"/>
      <w:r>
        <w:rPr>
          <w:rFonts w:hint="eastAsia" w:eastAsia="黑体"/>
          <w:color w:val="000000"/>
          <w:sz w:val="24"/>
          <w:szCs w:val="24"/>
        </w:rPr>
        <w:t>D</w:t>
      </w:r>
      <w:r>
        <w:rPr>
          <w:rFonts w:eastAsia="黑体"/>
          <w:color w:val="000000"/>
          <w:sz w:val="24"/>
          <w:szCs w:val="24"/>
        </w:rPr>
        <w:t>.1</w:t>
      </w:r>
      <w:r>
        <w:rPr>
          <w:rFonts w:hint="eastAsia" w:eastAsia="黑体"/>
          <w:color w:val="000000"/>
          <w:sz w:val="24"/>
          <w:szCs w:val="24"/>
        </w:rPr>
        <w:t>概述</w:t>
      </w:r>
    </w:p>
    <w:p w14:paraId="73BAF925">
      <w:pPr>
        <w:spacing w:before="120" w:after="120" w:line="360" w:lineRule="auto"/>
        <w:rPr>
          <w:rFonts w:eastAsiaTheme="minorEastAsia"/>
          <w:color w:val="000000"/>
          <w:sz w:val="24"/>
          <w:szCs w:val="24"/>
        </w:rPr>
      </w:pPr>
      <w:r>
        <w:rPr>
          <w:rFonts w:hint="eastAsia" w:eastAsiaTheme="minorEastAsia"/>
          <w:color w:val="000000"/>
          <w:sz w:val="24"/>
          <w:szCs w:val="24"/>
        </w:rPr>
        <w:t>D</w:t>
      </w:r>
      <w:r>
        <w:rPr>
          <w:rFonts w:eastAsiaTheme="minorEastAsia"/>
          <w:color w:val="000000"/>
          <w:sz w:val="24"/>
          <w:szCs w:val="24"/>
        </w:rPr>
        <w:t xml:space="preserve">.1.1 </w:t>
      </w:r>
      <w:r>
        <w:rPr>
          <w:rFonts w:eastAsia="黑体"/>
          <w:color w:val="000000"/>
          <w:sz w:val="24"/>
          <w:szCs w:val="24"/>
        </w:rPr>
        <w:t>环境条件：</w:t>
      </w:r>
      <w:r>
        <w:rPr>
          <w:rFonts w:eastAsiaTheme="minorEastAsia"/>
          <w:color w:val="000000"/>
          <w:sz w:val="24"/>
          <w:szCs w:val="24"/>
        </w:rPr>
        <w:t>温度（</w:t>
      </w:r>
      <w:r>
        <w:rPr>
          <w:rFonts w:hint="eastAsia" w:eastAsiaTheme="minorEastAsia"/>
          <w:color w:val="000000"/>
          <w:sz w:val="24"/>
          <w:szCs w:val="24"/>
        </w:rPr>
        <w:t>15</w:t>
      </w:r>
      <w:r>
        <w:rPr>
          <w:rFonts w:eastAsiaTheme="minorEastAsia"/>
          <w:color w:val="000000"/>
          <w:sz w:val="24"/>
          <w:szCs w:val="24"/>
        </w:rPr>
        <w:t>~</w:t>
      </w:r>
      <w:r>
        <w:rPr>
          <w:rFonts w:hint="eastAsia" w:eastAsiaTheme="minorEastAsia"/>
          <w:color w:val="000000"/>
          <w:sz w:val="24"/>
          <w:szCs w:val="24"/>
        </w:rPr>
        <w:t>35</w:t>
      </w:r>
      <w:r>
        <w:rPr>
          <w:rFonts w:eastAsiaTheme="minorEastAsia"/>
          <w:color w:val="000000"/>
          <w:sz w:val="24"/>
          <w:szCs w:val="24"/>
        </w:rPr>
        <w:t>）</w:t>
      </w:r>
      <w:r>
        <w:rPr>
          <w:rFonts w:hint="eastAsia"/>
          <w:color w:val="000000"/>
          <w:sz w:val="24"/>
          <w:szCs w:val="24"/>
        </w:rPr>
        <w:t>℃</w:t>
      </w:r>
      <w:r>
        <w:rPr>
          <w:rFonts w:eastAsiaTheme="minorEastAsia"/>
          <w:color w:val="000000"/>
          <w:sz w:val="24"/>
          <w:szCs w:val="24"/>
        </w:rPr>
        <w:t>，</w:t>
      </w:r>
      <w:r>
        <w:rPr>
          <w:rFonts w:hint="eastAsia" w:eastAsiaTheme="minorEastAsia"/>
          <w:color w:val="000000"/>
          <w:sz w:val="24"/>
          <w:szCs w:val="24"/>
        </w:rPr>
        <w:t>相对</w:t>
      </w:r>
      <w:r>
        <w:rPr>
          <w:rFonts w:eastAsiaTheme="minorEastAsia"/>
          <w:color w:val="000000"/>
          <w:sz w:val="24"/>
          <w:szCs w:val="24"/>
        </w:rPr>
        <w:t>湿度</w:t>
      </w:r>
      <w:r>
        <w:rPr>
          <w:rFonts w:hint="eastAsia" w:eastAsiaTheme="minorEastAsia"/>
          <w:color w:val="000000"/>
          <w:sz w:val="24"/>
          <w:szCs w:val="24"/>
        </w:rPr>
        <w:t>不大于80</w:t>
      </w:r>
      <w:r>
        <w:rPr>
          <w:rFonts w:eastAsiaTheme="minorEastAsia"/>
          <w:color w:val="000000"/>
          <w:sz w:val="24"/>
          <w:szCs w:val="24"/>
        </w:rPr>
        <w:t>%。</w:t>
      </w:r>
    </w:p>
    <w:p w14:paraId="66F4E54B">
      <w:pPr>
        <w:spacing w:before="120" w:after="120" w:line="360" w:lineRule="auto"/>
        <w:rPr>
          <w:rFonts w:eastAsiaTheme="minorEastAsia"/>
          <w:color w:val="000000"/>
          <w:sz w:val="24"/>
          <w:szCs w:val="24"/>
        </w:rPr>
      </w:pPr>
      <w:r>
        <w:rPr>
          <w:rFonts w:hint="eastAsia" w:eastAsiaTheme="minorEastAsia"/>
          <w:color w:val="000000"/>
          <w:sz w:val="24"/>
          <w:szCs w:val="24"/>
        </w:rPr>
        <w:t>D</w:t>
      </w:r>
      <w:r>
        <w:rPr>
          <w:rFonts w:eastAsiaTheme="minorEastAsia"/>
          <w:color w:val="000000"/>
          <w:sz w:val="24"/>
          <w:szCs w:val="24"/>
        </w:rPr>
        <w:t xml:space="preserve">.1.2 </w:t>
      </w:r>
      <w:r>
        <w:rPr>
          <w:rFonts w:hint="eastAsia" w:eastAsia="黑体"/>
          <w:color w:val="000000"/>
          <w:sz w:val="24"/>
          <w:szCs w:val="24"/>
        </w:rPr>
        <w:t>测量</w:t>
      </w:r>
      <w:r>
        <w:rPr>
          <w:rFonts w:eastAsia="黑体"/>
          <w:color w:val="000000"/>
          <w:sz w:val="24"/>
          <w:szCs w:val="24"/>
        </w:rPr>
        <w:t>标准：</w:t>
      </w:r>
      <w:r>
        <w:rPr>
          <w:rFonts w:hint="eastAsia"/>
          <w:color w:val="000000"/>
          <w:sz w:val="24"/>
          <w:szCs w:val="24"/>
        </w:rPr>
        <w:t>0.05级数字压力计，测量范围（0~100）kPa</w:t>
      </w:r>
      <w:r>
        <w:rPr>
          <w:rFonts w:eastAsiaTheme="minorEastAsia"/>
          <w:color w:val="000000"/>
          <w:sz w:val="24"/>
          <w:szCs w:val="24"/>
        </w:rPr>
        <w:t>。</w:t>
      </w:r>
    </w:p>
    <w:p w14:paraId="5C0D5AF7">
      <w:pPr>
        <w:spacing w:before="120" w:after="120" w:line="360" w:lineRule="auto"/>
        <w:rPr>
          <w:rFonts w:eastAsiaTheme="minorEastAsia"/>
          <w:color w:val="000000"/>
          <w:sz w:val="24"/>
          <w:szCs w:val="24"/>
        </w:rPr>
      </w:pPr>
      <w:r>
        <w:rPr>
          <w:rFonts w:hint="eastAsia" w:eastAsiaTheme="minorEastAsia"/>
          <w:color w:val="000000"/>
          <w:sz w:val="24"/>
          <w:szCs w:val="24"/>
        </w:rPr>
        <w:t>D</w:t>
      </w:r>
      <w:r>
        <w:rPr>
          <w:rFonts w:eastAsiaTheme="minorEastAsia"/>
          <w:color w:val="000000"/>
          <w:sz w:val="24"/>
          <w:szCs w:val="24"/>
        </w:rPr>
        <w:t xml:space="preserve">.1.3 </w:t>
      </w:r>
      <w:r>
        <w:rPr>
          <w:rFonts w:eastAsia="黑体"/>
          <w:color w:val="000000"/>
          <w:sz w:val="24"/>
          <w:szCs w:val="24"/>
        </w:rPr>
        <w:t>测量方法</w:t>
      </w:r>
    </w:p>
    <w:p w14:paraId="396D38A5">
      <w:pPr>
        <w:spacing w:line="360" w:lineRule="auto"/>
        <w:ind w:firstLine="480" w:firstLineChars="200"/>
        <w:rPr>
          <w:sz w:val="24"/>
        </w:rPr>
      </w:pPr>
      <w:bookmarkStart w:id="227" w:name="_Hlk203660772"/>
      <w:r>
        <w:rPr>
          <w:sz w:val="24"/>
        </w:rPr>
        <w:t>将</w:t>
      </w:r>
      <w:r>
        <w:rPr>
          <w:rFonts w:hint="eastAsia"/>
          <w:sz w:val="24"/>
        </w:rPr>
        <w:t>数字压力计通过压力导管</w:t>
      </w:r>
      <w:r>
        <w:rPr>
          <w:sz w:val="24"/>
        </w:rPr>
        <w:t>连接到</w:t>
      </w:r>
      <w:r>
        <w:rPr>
          <w:rFonts w:hint="eastAsia"/>
          <w:sz w:val="24"/>
        </w:rPr>
        <w:t>空气释放值测定仪的加热空气出气口，接通气源，通入压缩空气</w:t>
      </w:r>
      <w:r>
        <w:rPr>
          <w:sz w:val="24"/>
        </w:rPr>
        <w:t>，</w:t>
      </w:r>
      <w:r>
        <w:rPr>
          <w:rFonts w:hint="eastAsia"/>
          <w:sz w:val="24"/>
        </w:rPr>
        <w:t xml:space="preserve">使压力达到19.6 </w:t>
      </w:r>
      <w:r>
        <w:rPr>
          <w:sz w:val="24"/>
        </w:rPr>
        <w:t>kPa左右，</w:t>
      </w:r>
      <w:r>
        <w:rPr>
          <w:rFonts w:hint="eastAsia"/>
          <w:sz w:val="24"/>
        </w:rPr>
        <w:t>保持压力。</w:t>
      </w:r>
      <w:r>
        <w:rPr>
          <w:sz w:val="24"/>
        </w:rPr>
        <w:t>读取</w:t>
      </w:r>
      <w:r>
        <w:rPr>
          <w:rFonts w:hint="eastAsia"/>
          <w:sz w:val="24"/>
        </w:rPr>
        <w:t>数字压力计</w:t>
      </w:r>
      <w:r>
        <w:rPr>
          <w:sz w:val="24"/>
        </w:rPr>
        <w:t>上的压力值，连续测</w:t>
      </w:r>
      <w:r>
        <w:rPr>
          <w:rFonts w:hint="eastAsia"/>
          <w:sz w:val="24"/>
        </w:rPr>
        <w:t>量</w:t>
      </w:r>
      <w:r>
        <w:rPr>
          <w:sz w:val="24"/>
        </w:rPr>
        <w:t>3次，取平均值为测量结果。</w:t>
      </w:r>
      <w:r>
        <w:rPr>
          <w:rFonts w:hint="eastAsia"/>
          <w:sz w:val="24"/>
        </w:rPr>
        <w:t>通过3次测量平均值与空气释放值测定仪的压力显示值之差计算压力示值误差。</w:t>
      </w:r>
    </w:p>
    <w:bookmarkEnd w:id="227"/>
    <w:p w14:paraId="2E34A099">
      <w:pPr>
        <w:spacing w:before="120" w:after="120" w:line="276" w:lineRule="auto"/>
        <w:rPr>
          <w:rFonts w:eastAsia="黑体"/>
          <w:color w:val="000000"/>
          <w:sz w:val="24"/>
          <w:szCs w:val="24"/>
        </w:rPr>
      </w:pPr>
      <w:r>
        <w:rPr>
          <w:rFonts w:hint="eastAsia" w:eastAsia="黑体"/>
          <w:color w:val="000000"/>
          <w:sz w:val="24"/>
          <w:szCs w:val="24"/>
        </w:rPr>
        <w:t>D</w:t>
      </w:r>
      <w:r>
        <w:rPr>
          <w:rFonts w:eastAsia="黑体"/>
          <w:color w:val="000000"/>
          <w:sz w:val="24"/>
          <w:szCs w:val="24"/>
        </w:rPr>
        <w:t>.2</w:t>
      </w:r>
      <w:r>
        <w:rPr>
          <w:rFonts w:hint="eastAsia" w:eastAsia="黑体"/>
          <w:color w:val="000000"/>
          <w:sz w:val="24"/>
          <w:szCs w:val="24"/>
        </w:rPr>
        <w:t xml:space="preserve"> </w:t>
      </w:r>
      <w:r>
        <w:rPr>
          <w:rFonts w:eastAsia="黑体"/>
          <w:color w:val="000000"/>
          <w:sz w:val="24"/>
          <w:szCs w:val="24"/>
        </w:rPr>
        <w:t>测量模型</w:t>
      </w:r>
    </w:p>
    <w:p w14:paraId="434103A5">
      <w:pPr>
        <w:spacing w:before="120" w:after="120" w:line="360" w:lineRule="auto"/>
        <w:ind w:firstLine="480" w:firstLineChars="200"/>
        <w:rPr>
          <w:rFonts w:eastAsiaTheme="minorEastAsia"/>
          <w:color w:val="000000"/>
          <w:sz w:val="24"/>
          <w:szCs w:val="24"/>
        </w:rPr>
      </w:pPr>
      <w:r>
        <w:rPr>
          <w:rFonts w:hint="eastAsia" w:eastAsiaTheme="minorEastAsia"/>
          <w:color w:val="000000"/>
          <w:sz w:val="24"/>
          <w:szCs w:val="24"/>
        </w:rPr>
        <w:t>根据润滑油空气释放值测定仪校准规范，</w:t>
      </w:r>
      <w:r>
        <w:rPr>
          <w:rFonts w:eastAsiaTheme="minorEastAsia"/>
          <w:color w:val="000000"/>
          <w:sz w:val="24"/>
          <w:szCs w:val="24"/>
        </w:rPr>
        <w:t>按照式（</w:t>
      </w:r>
      <w:r>
        <w:rPr>
          <w:rFonts w:hint="eastAsia" w:eastAsiaTheme="minorEastAsia"/>
          <w:color w:val="000000"/>
          <w:sz w:val="24"/>
          <w:szCs w:val="24"/>
        </w:rPr>
        <w:t>D</w:t>
      </w:r>
      <w:r>
        <w:rPr>
          <w:rFonts w:eastAsiaTheme="minorEastAsia"/>
          <w:color w:val="000000"/>
          <w:sz w:val="24"/>
          <w:szCs w:val="24"/>
        </w:rPr>
        <w:t>.1</w:t>
      </w:r>
      <w:r>
        <w:rPr>
          <w:rFonts w:hint="eastAsia" w:eastAsiaTheme="minorEastAsia"/>
          <w:color w:val="000000"/>
          <w:sz w:val="24"/>
          <w:szCs w:val="24"/>
        </w:rPr>
        <w:t>）计算压力示值误差。</w:t>
      </w:r>
    </w:p>
    <w:p w14:paraId="52364AC6">
      <w:pPr>
        <w:spacing w:line="440" w:lineRule="exact"/>
        <w:jc w:val="right"/>
        <w:rPr>
          <w:rFonts w:hint="eastAsia" w:ascii="宋体" w:hAnsi="宋体" w:cs="宋体"/>
          <w:sz w:val="24"/>
        </w:rPr>
      </w:pPr>
      <w:r>
        <w:rPr>
          <w:rFonts w:hint="eastAsia"/>
          <w:position w:val="-12"/>
        </w:rPr>
        <w:t xml:space="preserve">                          </w:t>
      </w:r>
      <w:bookmarkStart w:id="228" w:name="OLE_LINK35"/>
      <w:r>
        <w:rPr>
          <w:rFonts w:hint="eastAsia"/>
          <w:position w:val="-12"/>
        </w:rPr>
        <w:object>
          <v:shape id="_x0000_i1063" o:spt="75" type="#_x0000_t75" style="height:20.05pt;width:59.95pt;" o:ole="t" filled="f" o:preferrelative="t" stroked="f" coordsize="21600,21600">
            <v:path/>
            <v:fill on="f" focussize="0,0"/>
            <v:stroke on="f" joinstyle="miter"/>
            <v:imagedata r:id="rId98" o:title=""/>
            <o:lock v:ext="edit" aspectratio="t"/>
            <w10:wrap type="none"/>
            <w10:anchorlock/>
          </v:shape>
          <o:OLEObject Type="Embed" ProgID="Equation.DSMT4" ShapeID="_x0000_i1063" DrawAspect="Content" ObjectID="_1468075764" r:id="rId97">
            <o:LockedField>false</o:LockedField>
          </o:OLEObject>
        </w:object>
      </w:r>
      <w:bookmarkEnd w:id="228"/>
      <w:r>
        <w:rPr>
          <w:rFonts w:hint="eastAsia"/>
          <w:position w:val="-12"/>
        </w:rPr>
        <w:t xml:space="preserve">                               </w:t>
      </w:r>
      <w:r>
        <w:rPr>
          <w:rFonts w:hint="eastAsia"/>
          <w:sz w:val="24"/>
          <w:szCs w:val="24"/>
        </w:rPr>
        <w:t>（D.1）</w:t>
      </w:r>
    </w:p>
    <w:p w14:paraId="07DF5F88">
      <w:pPr>
        <w:spacing w:line="360" w:lineRule="auto"/>
        <w:ind w:firstLine="480" w:firstLineChars="200"/>
        <w:rPr>
          <w:sz w:val="24"/>
          <w:szCs w:val="24"/>
        </w:rPr>
      </w:pPr>
      <w:r>
        <w:rPr>
          <w:rFonts w:hint="eastAsia"/>
          <w:sz w:val="24"/>
          <w:szCs w:val="24"/>
        </w:rPr>
        <w:t>式中：</w:t>
      </w:r>
    </w:p>
    <w:p w14:paraId="1F609077">
      <w:pPr>
        <w:spacing w:line="360" w:lineRule="auto"/>
        <w:ind w:firstLine="420" w:firstLineChars="200"/>
        <w:rPr>
          <w:sz w:val="24"/>
          <w:szCs w:val="24"/>
        </w:rPr>
      </w:pPr>
      <w:r>
        <w:rPr>
          <w:rFonts w:hint="eastAsia"/>
          <w:position w:val="-4"/>
        </w:rPr>
        <w:object>
          <v:shape id="_x0000_i1064" o:spt="75" type="#_x0000_t75" style="height:10.95pt;width:15.95pt;" o:ole="t" filled="f" o:preferrelative="t" stroked="f" coordsize="21600,21600">
            <v:path/>
            <v:fill on="f" focussize="0,0"/>
            <v:stroke on="f" joinstyle="miter"/>
            <v:imagedata r:id="rId50" o:title=""/>
            <o:lock v:ext="edit" aspectratio="t"/>
            <w10:wrap type="none"/>
            <w10:anchorlock/>
          </v:shape>
          <o:OLEObject Type="Embed" ProgID="Equation.DSMT4" ShapeID="_x0000_i1064" DrawAspect="Content" ObjectID="_1468075765" r:id="rId99">
            <o:LockedField>false</o:LockedField>
          </o:OLEObject>
        </w:object>
      </w:r>
      <w:r>
        <w:rPr>
          <w:sz w:val="24"/>
          <w:szCs w:val="24"/>
        </w:rPr>
        <w:t>——</w:t>
      </w:r>
      <w:r>
        <w:rPr>
          <w:rFonts w:hint="eastAsia"/>
          <w:sz w:val="24"/>
          <w:szCs w:val="24"/>
        </w:rPr>
        <w:t>压力示值误差</w:t>
      </w:r>
      <w:r>
        <w:rPr>
          <w:sz w:val="24"/>
          <w:szCs w:val="24"/>
        </w:rPr>
        <w:t>，</w:t>
      </w:r>
      <w:r>
        <w:rPr>
          <w:rFonts w:hint="eastAsia"/>
          <w:sz w:val="24"/>
          <w:szCs w:val="24"/>
        </w:rPr>
        <w:t>kPa</w:t>
      </w:r>
      <w:r>
        <w:rPr>
          <w:sz w:val="24"/>
          <w:szCs w:val="24"/>
        </w:rPr>
        <w:t>；</w:t>
      </w:r>
    </w:p>
    <w:p w14:paraId="5692F793">
      <w:pPr>
        <w:spacing w:line="360" w:lineRule="auto"/>
        <w:ind w:firstLine="480" w:firstLineChars="200"/>
        <w:rPr>
          <w:sz w:val="24"/>
          <w:szCs w:val="24"/>
        </w:rPr>
      </w:pPr>
      <w:r>
        <w:rPr>
          <w:position w:val="-12"/>
          <w:sz w:val="24"/>
          <w:szCs w:val="24"/>
        </w:rPr>
        <w:object>
          <v:shape id="_x0000_i1065" o:spt="75" type="#_x0000_t75" style="height:20.05pt;width:12.9pt;" o:ole="t" filled="f" o:preferrelative="t" stroked="f" coordsize="21600,21600">
            <v:path/>
            <v:fill on="f" focussize="0,0"/>
            <v:stroke on="f" joinstyle="miter"/>
            <v:imagedata r:id="rId101" o:title=""/>
            <o:lock v:ext="edit" aspectratio="t"/>
            <w10:wrap type="none"/>
            <w10:anchorlock/>
          </v:shape>
          <o:OLEObject Type="Embed" ProgID="Equation.DSMT4" ShapeID="_x0000_i1065" DrawAspect="Content" ObjectID="_1468075766" r:id="rId100">
            <o:LockedField>false</o:LockedField>
          </o:OLEObject>
        </w:object>
      </w:r>
      <w:r>
        <w:rPr>
          <w:sz w:val="24"/>
          <w:szCs w:val="24"/>
        </w:rPr>
        <w:t>——</w:t>
      </w:r>
      <w:r>
        <w:rPr>
          <w:rFonts w:hint="eastAsia"/>
          <w:sz w:val="24"/>
          <w:szCs w:val="24"/>
        </w:rPr>
        <w:t>压力测量值的算术平均值</w:t>
      </w:r>
      <w:r>
        <w:rPr>
          <w:sz w:val="24"/>
          <w:szCs w:val="24"/>
        </w:rPr>
        <w:t>，</w:t>
      </w:r>
      <w:r>
        <w:rPr>
          <w:rFonts w:hint="eastAsia"/>
          <w:sz w:val="24"/>
          <w:szCs w:val="24"/>
        </w:rPr>
        <w:t>kPa</w:t>
      </w:r>
      <w:r>
        <w:rPr>
          <w:sz w:val="24"/>
          <w:szCs w:val="24"/>
        </w:rPr>
        <w:t xml:space="preserve">； </w:t>
      </w:r>
    </w:p>
    <w:p w14:paraId="5F30B424">
      <w:pPr>
        <w:spacing w:line="360" w:lineRule="auto"/>
        <w:ind w:firstLine="480" w:firstLineChars="200"/>
        <w:rPr>
          <w:sz w:val="24"/>
          <w:szCs w:val="24"/>
        </w:rPr>
      </w:pPr>
      <w:r>
        <w:rPr>
          <w:position w:val="-10"/>
          <w:sz w:val="24"/>
          <w:szCs w:val="24"/>
        </w:rPr>
        <w:object>
          <v:shape id="_x0000_i1066" o:spt="75" type="#_x0000_t75" style="height:18.75pt;width:15pt;" o:ole="t" filled="f" o:preferrelative="t" stroked="f" coordsize="21600,21600">
            <v:path/>
            <v:fill on="f" focussize="0,0"/>
            <v:stroke on="f" joinstyle="miter"/>
            <v:imagedata r:id="rId103" o:title=""/>
            <o:lock v:ext="edit" aspectratio="t"/>
            <w10:wrap type="none"/>
            <w10:anchorlock/>
          </v:shape>
          <o:OLEObject Type="Embed" ProgID="Equation.DSMT4" ShapeID="_x0000_i1066" DrawAspect="Content" ObjectID="_1468075767" r:id="rId102">
            <o:LockedField>false</o:LockedField>
          </o:OLEObject>
        </w:object>
      </w:r>
      <w:r>
        <w:rPr>
          <w:sz w:val="24"/>
          <w:szCs w:val="24"/>
        </w:rPr>
        <w:t>——</w:t>
      </w:r>
      <w:r>
        <w:rPr>
          <w:rFonts w:hint="eastAsia"/>
          <w:sz w:val="24"/>
          <w:szCs w:val="24"/>
        </w:rPr>
        <w:t>空气释放值测定仪压力显示值，kPa。</w:t>
      </w:r>
    </w:p>
    <w:p w14:paraId="3BC100C6">
      <w:pPr>
        <w:spacing w:line="360" w:lineRule="auto"/>
        <w:rPr>
          <w:rFonts w:eastAsia="黑体"/>
          <w:color w:val="000000"/>
          <w:sz w:val="24"/>
          <w:szCs w:val="24"/>
        </w:rPr>
      </w:pPr>
      <w:r>
        <w:rPr>
          <w:rFonts w:hint="eastAsia" w:eastAsia="黑体"/>
          <w:color w:val="000000"/>
          <w:sz w:val="24"/>
          <w:szCs w:val="24"/>
        </w:rPr>
        <w:t>D.3 不确定度传播律</w:t>
      </w:r>
    </w:p>
    <w:p w14:paraId="582B21DF">
      <w:pPr>
        <w:spacing w:line="360" w:lineRule="auto"/>
        <w:ind w:firstLine="480" w:firstLineChars="200"/>
        <w:rPr>
          <w:rFonts w:hint="eastAsia" w:ascii="宋体" w:hAnsi="宋体"/>
          <w:color w:val="000000"/>
          <w:sz w:val="24"/>
          <w:szCs w:val="24"/>
        </w:rPr>
      </w:pPr>
      <w:bookmarkStart w:id="229" w:name="OLE_LINK40"/>
      <w:r>
        <w:rPr>
          <w:rFonts w:hint="eastAsia" w:ascii="宋体" w:hAnsi="宋体"/>
          <w:color w:val="000000"/>
          <w:sz w:val="24"/>
          <w:szCs w:val="24"/>
        </w:rPr>
        <w:t>测量量</w:t>
      </w:r>
      <w:bookmarkStart w:id="230" w:name="_Hlk207630279"/>
      <w:r>
        <w:rPr>
          <w:rFonts w:hint="eastAsia" w:ascii="宋体" w:hAnsi="宋体"/>
          <w:color w:val="000000"/>
          <w:position w:val="-10"/>
          <w:sz w:val="24"/>
          <w:szCs w:val="24"/>
        </w:rPr>
        <w:object>
          <v:shape id="_x0000_i1067" o:spt="75" type="#_x0000_t75" style="height:19.85pt;width:14pt;" o:ole="t" filled="f" o:preferrelative="t" stroked="f" coordsize="21600,21600">
            <v:path/>
            <v:fill on="f" focussize="0,0"/>
            <v:stroke on="f" joinstyle="miter"/>
            <v:imagedata r:id="rId105" o:title=""/>
            <o:lock v:ext="edit" aspectratio="t"/>
            <w10:wrap type="none"/>
            <w10:anchorlock/>
          </v:shape>
          <o:OLEObject Type="Embed" ProgID="Equation.DSMT4" ShapeID="_x0000_i1067" DrawAspect="Content" ObjectID="_1468075768" r:id="rId104">
            <o:LockedField>false</o:LockedField>
          </o:OLEObject>
        </w:object>
      </w:r>
      <w:r>
        <w:rPr>
          <w:rFonts w:hint="eastAsia" w:ascii="宋体" w:hAnsi="宋体"/>
          <w:color w:val="000000"/>
          <w:sz w:val="24"/>
          <w:szCs w:val="24"/>
        </w:rPr>
        <w:t>与</w:t>
      </w:r>
      <w:r>
        <w:rPr>
          <w:rFonts w:hint="eastAsia" w:ascii="宋体" w:hAnsi="宋体"/>
          <w:color w:val="000000"/>
          <w:position w:val="-10"/>
          <w:sz w:val="24"/>
          <w:szCs w:val="24"/>
        </w:rPr>
        <w:object>
          <v:shape id="_x0000_i1068" o:spt="75" type="#_x0000_t75" style="height:16.9pt;width:13.5pt;" o:ole="t" filled="f" o:preferrelative="t" stroked="f" coordsize="21600,21600">
            <v:path/>
            <v:fill on="f" focussize="0,0"/>
            <v:stroke on="f" joinstyle="miter"/>
            <v:imagedata r:id="rId107" o:title=""/>
            <o:lock v:ext="edit" aspectratio="t"/>
            <w10:wrap type="none"/>
            <w10:anchorlock/>
          </v:shape>
          <o:OLEObject Type="Embed" ProgID="Equation.DSMT4" ShapeID="_x0000_i1068" DrawAspect="Content" ObjectID="_1468075769" r:id="rId106">
            <o:LockedField>false</o:LockedField>
          </o:OLEObject>
        </w:object>
      </w:r>
      <w:bookmarkEnd w:id="230"/>
      <w:r>
        <w:rPr>
          <w:rFonts w:hint="eastAsia" w:ascii="宋体" w:hAnsi="宋体"/>
          <w:color w:val="000000"/>
          <w:sz w:val="24"/>
          <w:szCs w:val="24"/>
        </w:rPr>
        <w:t>彼此不相关，则合成标准不确定度的计算公式为：</w:t>
      </w:r>
    </w:p>
    <w:p w14:paraId="2E4026A2">
      <w:pPr>
        <w:spacing w:line="360" w:lineRule="auto"/>
        <w:jc w:val="right"/>
        <w:rPr>
          <w:sz w:val="24"/>
        </w:rPr>
      </w:pPr>
      <w:bookmarkStart w:id="231" w:name="_Hlk207630289"/>
      <w:r>
        <w:rPr>
          <w:position w:val="-16"/>
          <w:sz w:val="24"/>
        </w:rPr>
        <w:object>
          <v:shape id="_x0000_i1069" o:spt="75" type="#_x0000_t75" style="height:25.05pt;width:150.4pt;" o:ole="t" filled="f" o:preferrelative="t" stroked="f" coordsize="21600,21600">
            <v:path/>
            <v:fill on="f" focussize="0,0"/>
            <v:stroke on="f" joinstyle="miter"/>
            <v:imagedata r:id="rId109" o:title=""/>
            <o:lock v:ext="edit" aspectratio="t"/>
            <w10:wrap type="none"/>
            <w10:anchorlock/>
          </v:shape>
          <o:OLEObject Type="Embed" ProgID="Equation.DSMT4" ShapeID="_x0000_i1069" DrawAspect="Content" ObjectID="_1468075770" r:id="rId108">
            <o:LockedField>false</o:LockedField>
          </o:OLEObject>
        </w:object>
      </w:r>
      <w:bookmarkEnd w:id="231"/>
      <w:r>
        <w:rPr>
          <w:rFonts w:hint="eastAsia"/>
          <w:sz w:val="24"/>
        </w:rPr>
        <w:t xml:space="preserve">                  （D.2）</w:t>
      </w:r>
    </w:p>
    <w:p w14:paraId="6E16D151">
      <w:pPr>
        <w:spacing w:line="360" w:lineRule="auto"/>
        <w:ind w:firstLine="480" w:firstLineChars="200"/>
        <w:rPr>
          <w:position w:val="-12"/>
          <w:sz w:val="24"/>
          <w:szCs w:val="24"/>
        </w:rPr>
      </w:pPr>
      <w:r>
        <w:rPr>
          <w:rFonts w:hint="eastAsia"/>
          <w:position w:val="-12"/>
          <w:sz w:val="24"/>
          <w:szCs w:val="24"/>
        </w:rPr>
        <w:t>灵敏系数为：</w:t>
      </w:r>
      <w:bookmarkStart w:id="232" w:name="_Hlk207630300"/>
      <w:r>
        <w:rPr>
          <w:rFonts w:hint="eastAsia" w:eastAsiaTheme="minorEastAsia"/>
          <w:position w:val="-32"/>
          <w:sz w:val="24"/>
          <w:szCs w:val="24"/>
        </w:rPr>
        <w:object>
          <v:shape id="_x0000_i1070" o:spt="75" type="#_x0000_t75" style="height:35.1pt;width:72pt;" o:ole="t" filled="f" o:preferrelative="t" stroked="f" coordsize="21600,21600">
            <v:path/>
            <v:fill on="f" focussize="0,0"/>
            <v:stroke on="f" joinstyle="miter"/>
            <v:imagedata r:id="rId111" o:title=""/>
            <o:lock v:ext="edit" aspectratio="t"/>
            <w10:wrap type="none"/>
            <w10:anchorlock/>
          </v:shape>
          <o:OLEObject Type="Embed" ProgID="Equation.DSMT4" ShapeID="_x0000_i1070" DrawAspect="Content" ObjectID="_1468075771" r:id="rId110">
            <o:LockedField>false</o:LockedField>
          </o:OLEObject>
        </w:object>
      </w:r>
      <w:bookmarkEnd w:id="232"/>
      <w:r>
        <w:rPr>
          <w:rFonts w:hint="eastAsia" w:eastAsiaTheme="minorEastAsia"/>
          <w:sz w:val="24"/>
          <w:szCs w:val="24"/>
        </w:rPr>
        <w:t xml:space="preserve">      </w:t>
      </w:r>
      <w:bookmarkStart w:id="233" w:name="_Hlk207630307"/>
      <w:r>
        <w:rPr>
          <w:rFonts w:hint="eastAsia" w:eastAsiaTheme="minorEastAsia"/>
          <w:position w:val="-30"/>
          <w:sz w:val="24"/>
          <w:szCs w:val="24"/>
        </w:rPr>
        <w:object>
          <v:shape id="_x0000_i1071" o:spt="75" type="#_x0000_t75" style="height:34.1pt;width:81.1pt;" o:ole="t" filled="f" o:preferrelative="t" stroked="f" coordsize="21600,21600">
            <v:path/>
            <v:fill on="f" focussize="0,0"/>
            <v:stroke on="f" joinstyle="miter"/>
            <v:imagedata r:id="rId113" o:title=""/>
            <o:lock v:ext="edit" aspectratio="t"/>
            <w10:wrap type="none"/>
            <w10:anchorlock/>
          </v:shape>
          <o:OLEObject Type="Embed" ProgID="Equation.DSMT4" ShapeID="_x0000_i1071" DrawAspect="Content" ObjectID="_1468075772" r:id="rId112">
            <o:LockedField>false</o:LockedField>
          </o:OLEObject>
        </w:object>
      </w:r>
      <w:bookmarkEnd w:id="229"/>
      <w:bookmarkEnd w:id="233"/>
    </w:p>
    <w:p w14:paraId="2AE70442">
      <w:pPr>
        <w:spacing w:before="120" w:after="120" w:line="276" w:lineRule="auto"/>
        <w:rPr>
          <w:rFonts w:eastAsia="黑体"/>
          <w:color w:val="000000"/>
          <w:sz w:val="24"/>
          <w:szCs w:val="24"/>
        </w:rPr>
      </w:pPr>
      <w:r>
        <w:rPr>
          <w:rFonts w:hint="eastAsia" w:eastAsia="黑体"/>
          <w:color w:val="000000"/>
          <w:sz w:val="24"/>
          <w:szCs w:val="24"/>
        </w:rPr>
        <w:t>D</w:t>
      </w:r>
      <w:r>
        <w:rPr>
          <w:rFonts w:eastAsia="黑体"/>
          <w:color w:val="000000"/>
          <w:sz w:val="24"/>
          <w:szCs w:val="24"/>
        </w:rPr>
        <w:t>.</w:t>
      </w:r>
      <w:r>
        <w:rPr>
          <w:rFonts w:hint="eastAsia" w:eastAsia="黑体"/>
          <w:color w:val="000000"/>
          <w:sz w:val="24"/>
          <w:szCs w:val="24"/>
        </w:rPr>
        <w:t>4 标准不确定度评定</w:t>
      </w:r>
    </w:p>
    <w:p w14:paraId="7B9B2E84">
      <w:pPr>
        <w:spacing w:line="360" w:lineRule="auto"/>
        <w:ind w:firstLine="480" w:firstLineChars="200"/>
        <w:rPr>
          <w:sz w:val="24"/>
          <w:szCs w:val="24"/>
        </w:rPr>
      </w:pPr>
      <w:r>
        <w:rPr>
          <w:rFonts w:hint="eastAsia"/>
          <w:sz w:val="24"/>
          <w:szCs w:val="24"/>
        </w:rPr>
        <w:t>不确定度来源：测量重复性引入的标准不确定度分量，</w:t>
      </w:r>
      <w:bookmarkStart w:id="234" w:name="OLE_LINK22"/>
      <w:r>
        <w:rPr>
          <w:rFonts w:hint="eastAsia"/>
          <w:sz w:val="24"/>
          <w:szCs w:val="24"/>
        </w:rPr>
        <w:t>标准器最大允许误差引入的标准不确定度分量</w:t>
      </w:r>
      <w:bookmarkEnd w:id="234"/>
      <w:r>
        <w:rPr>
          <w:rFonts w:hint="eastAsia"/>
          <w:sz w:val="24"/>
          <w:szCs w:val="24"/>
        </w:rPr>
        <w:t>，被检压力示值估读引入的标准不确定度分量。</w:t>
      </w:r>
    </w:p>
    <w:p w14:paraId="06F30D69">
      <w:pPr>
        <w:adjustRightInd/>
        <w:spacing w:line="360" w:lineRule="auto"/>
        <w:rPr>
          <w:color w:val="000000"/>
          <w:sz w:val="24"/>
          <w:szCs w:val="24"/>
        </w:rPr>
      </w:pPr>
      <w:bookmarkStart w:id="235" w:name="OLE_LINK36"/>
      <w:r>
        <w:rPr>
          <w:rFonts w:hint="eastAsia"/>
          <w:color w:val="000000"/>
          <w:sz w:val="24"/>
          <w:szCs w:val="24"/>
        </w:rPr>
        <w:t>D</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w:t>
      </w:r>
      <w:r>
        <w:rPr>
          <w:color w:val="000000"/>
          <w:sz w:val="24"/>
          <w:szCs w:val="24"/>
        </w:rPr>
        <w:t xml:space="preserve"> </w:t>
      </w:r>
      <w:bookmarkEnd w:id="235"/>
      <w:r>
        <w:rPr>
          <w:rFonts w:hint="eastAsia"/>
          <w:color w:val="000000"/>
          <w:sz w:val="24"/>
          <w:szCs w:val="24"/>
        </w:rPr>
        <w:t>测量值的标准不确定度</w:t>
      </w:r>
      <w:bookmarkStart w:id="236" w:name="OLE_LINK39"/>
      <w:r>
        <w:rPr>
          <w:position w:val="-16"/>
          <w:sz w:val="24"/>
        </w:rPr>
        <w:object>
          <v:shape id="_x0000_i1072" o:spt="75" type="#_x0000_t75" style="height:25.05pt;width:31.45pt;" o:ole="t" filled="f" o:preferrelative="t" stroked="f" coordsize="21600,21600">
            <v:path/>
            <v:fill on="f" focussize="0,0"/>
            <v:stroke on="f" joinstyle="miter"/>
            <v:imagedata r:id="rId115" o:title=""/>
            <o:lock v:ext="edit" aspectratio="t"/>
            <w10:wrap type="none"/>
            <w10:anchorlock/>
          </v:shape>
          <o:OLEObject Type="Embed" ProgID="Equation.DSMT4" ShapeID="_x0000_i1072" DrawAspect="Content" ObjectID="_1468075773" r:id="rId114">
            <o:LockedField>false</o:LockedField>
          </o:OLEObject>
        </w:object>
      </w:r>
      <w:bookmarkEnd w:id="236"/>
    </w:p>
    <w:p w14:paraId="0B54764B">
      <w:pPr>
        <w:adjustRightInd/>
        <w:spacing w:line="360" w:lineRule="auto"/>
        <w:rPr>
          <w:color w:val="000000"/>
          <w:sz w:val="24"/>
          <w:szCs w:val="24"/>
        </w:rPr>
      </w:pPr>
      <w:r>
        <w:rPr>
          <w:rFonts w:hint="eastAsia"/>
          <w:color w:val="000000"/>
          <w:sz w:val="24"/>
          <w:szCs w:val="24"/>
        </w:rPr>
        <w:t>D</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1.1 测量重复性引入的标准不确定度分量</w:t>
      </w:r>
      <w:r>
        <w:rPr>
          <w:rFonts w:hint="eastAsia"/>
          <w:i/>
          <w:iCs/>
          <w:color w:val="000000"/>
          <w:sz w:val="24"/>
          <w:szCs w:val="24"/>
        </w:rPr>
        <w:t>u</w:t>
      </w:r>
      <w:r>
        <w:rPr>
          <w:rFonts w:hint="eastAsia"/>
          <w:color w:val="000000"/>
          <w:sz w:val="24"/>
          <w:szCs w:val="24"/>
          <w:vertAlign w:val="subscript"/>
        </w:rPr>
        <w:t>1</w:t>
      </w:r>
    </w:p>
    <w:p w14:paraId="0D92DE1E">
      <w:pPr>
        <w:adjustRightInd/>
        <w:spacing w:line="360" w:lineRule="auto"/>
        <w:ind w:firstLine="480" w:firstLineChars="200"/>
        <w:rPr>
          <w:color w:val="000000"/>
          <w:sz w:val="24"/>
          <w:szCs w:val="24"/>
        </w:rPr>
      </w:pPr>
      <w:bookmarkStart w:id="237" w:name="OLE_LINK25"/>
      <w:bookmarkStart w:id="238" w:name="_Hlk203660844"/>
      <w:r>
        <w:rPr>
          <w:rFonts w:hint="eastAsia"/>
          <w:color w:val="000000"/>
          <w:sz w:val="24"/>
          <w:szCs w:val="24"/>
        </w:rPr>
        <w:t>对</w:t>
      </w:r>
      <w:bookmarkEnd w:id="237"/>
      <w:r>
        <w:rPr>
          <w:rFonts w:hint="eastAsia"/>
          <w:color w:val="000000"/>
          <w:sz w:val="24"/>
          <w:szCs w:val="24"/>
        </w:rPr>
        <w:t>压力重复测量10次，所得测量数据如下（kPa）：</w:t>
      </w:r>
      <w:bookmarkStart w:id="239" w:name="OLE_LINK21"/>
      <w:r>
        <w:rPr>
          <w:rFonts w:hint="eastAsia"/>
          <w:color w:val="000000"/>
          <w:sz w:val="24"/>
          <w:szCs w:val="24"/>
        </w:rPr>
        <w:t>19.93、19.65、20.05、19.96、19.91、19.78、20.03、19.84、19.96、19.88</w:t>
      </w:r>
      <w:bookmarkEnd w:id="239"/>
      <w:r>
        <w:rPr>
          <w:rFonts w:hint="eastAsia"/>
          <w:color w:val="000000"/>
          <w:sz w:val="24"/>
          <w:szCs w:val="24"/>
        </w:rPr>
        <w:t>。标准偏差</w:t>
      </w:r>
      <w:r>
        <w:rPr>
          <w:rFonts w:hint="eastAsia"/>
          <w:i/>
          <w:iCs/>
          <w:color w:val="000000"/>
          <w:sz w:val="24"/>
          <w:szCs w:val="24"/>
        </w:rPr>
        <w:t>s</w:t>
      </w:r>
      <w:r>
        <w:rPr>
          <w:rFonts w:hint="eastAsia"/>
          <w:color w:val="000000"/>
          <w:sz w:val="24"/>
          <w:szCs w:val="24"/>
        </w:rPr>
        <w:t>用式（D.3）计算：</w:t>
      </w:r>
    </w:p>
    <w:p w14:paraId="565FD06E">
      <w:pPr>
        <w:adjustRightInd/>
        <w:spacing w:line="360" w:lineRule="auto"/>
        <w:jc w:val="right"/>
        <w:rPr>
          <w:color w:val="000000"/>
          <w:sz w:val="24"/>
          <w:szCs w:val="24"/>
        </w:rPr>
      </w:pPr>
      <w:r>
        <w:rPr>
          <w:color w:val="000000"/>
          <w:position w:val="-22"/>
          <w:sz w:val="24"/>
          <w:szCs w:val="24"/>
        </w:rPr>
        <w:object>
          <v:shape id="_x0000_i1073" o:spt="75" type="#_x0000_t75" style="height:51.95pt;width:144pt;" o:ole="t" filled="f" o:preferrelative="t" stroked="f" coordsize="21600,21600">
            <v:path/>
            <v:fill on="f" focussize="0,0"/>
            <v:stroke on="f" joinstyle="miter"/>
            <v:imagedata r:id="rId117" o:title=""/>
            <o:lock v:ext="edit" aspectratio="t"/>
            <w10:wrap type="none"/>
            <w10:anchorlock/>
          </v:shape>
          <o:OLEObject Type="Embed" ProgID="Equation.DSMT4" ShapeID="_x0000_i1073" DrawAspect="Content" ObjectID="_1468075774" r:id="rId116">
            <o:LockedField>false</o:LockedField>
          </o:OLEObject>
        </w:object>
      </w:r>
      <w:r>
        <w:rPr>
          <w:rFonts w:hint="eastAsia"/>
          <w:color w:val="000000"/>
          <w:sz w:val="24"/>
          <w:szCs w:val="24"/>
        </w:rPr>
        <w:t xml:space="preserve">                   （D.3）</w:t>
      </w:r>
    </w:p>
    <w:p w14:paraId="34CBFA42">
      <w:pPr>
        <w:spacing w:line="360" w:lineRule="auto"/>
        <w:ind w:firstLine="480" w:firstLineChars="200"/>
        <w:rPr>
          <w:rFonts w:ascii="Times" w:hAnsi="Times" w:cs="Times"/>
          <w:sz w:val="24"/>
        </w:rPr>
      </w:pPr>
      <w:r>
        <w:rPr>
          <w:rFonts w:hint="eastAsia" w:ascii="Times" w:hAnsi="Times" w:cs="Times"/>
          <w:sz w:val="24"/>
        </w:rPr>
        <w:t>在实际校准中取3次的算术平均值为测量结果，则：</w:t>
      </w:r>
    </w:p>
    <w:p w14:paraId="6E45993F">
      <w:pPr>
        <w:spacing w:line="300" w:lineRule="auto"/>
        <w:jc w:val="center"/>
        <w:rPr>
          <w:rFonts w:ascii="Times" w:hAnsi="Times" w:cs="Times"/>
          <w:sz w:val="24"/>
        </w:rPr>
      </w:pPr>
      <w:r>
        <w:rPr>
          <w:rFonts w:ascii="Times" w:hAnsi="Times" w:cs="Times"/>
          <w:position w:val="-28"/>
          <w:sz w:val="24"/>
        </w:rPr>
        <w:object>
          <v:shape id="_x0000_i1074" o:spt="75" type="#_x0000_t75" style="height:32.8pt;width:158.6pt;" o:ole="t" filled="f" o:preferrelative="t" stroked="f" coordsize="21600,21600">
            <v:path/>
            <v:fill on="f" focussize="0,0"/>
            <v:stroke on="f" joinstyle="miter"/>
            <v:imagedata r:id="rId119" o:title=""/>
            <o:lock v:ext="edit" aspectratio="t"/>
            <w10:wrap type="none"/>
            <w10:anchorlock/>
          </v:shape>
          <o:OLEObject Type="Embed" ProgID="Equation.DSMT4" ShapeID="_x0000_i1074" DrawAspect="Content" ObjectID="_1468075775" r:id="rId118">
            <o:LockedField>false</o:LockedField>
          </o:OLEObject>
        </w:object>
      </w:r>
    </w:p>
    <w:bookmarkEnd w:id="238"/>
    <w:p w14:paraId="7F14F36E">
      <w:pPr>
        <w:adjustRightInd/>
        <w:spacing w:line="360" w:lineRule="auto"/>
        <w:rPr>
          <w:rFonts w:eastAsiaTheme="minorEastAsia"/>
          <w:sz w:val="24"/>
          <w:szCs w:val="24"/>
        </w:rPr>
      </w:pPr>
      <w:r>
        <w:rPr>
          <w:rFonts w:hint="eastAsia"/>
          <w:color w:val="000000"/>
          <w:sz w:val="24"/>
          <w:szCs w:val="24"/>
        </w:rPr>
        <w:t>D</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 xml:space="preserve">1.2 </w:t>
      </w:r>
      <w:r>
        <w:rPr>
          <w:rFonts w:hint="eastAsia" w:eastAsiaTheme="minorEastAsia"/>
          <w:color w:val="000000"/>
          <w:sz w:val="24"/>
          <w:szCs w:val="24"/>
        </w:rPr>
        <w:t>标准器最大允许误差引入的标准不确定度分量</w:t>
      </w:r>
      <w:r>
        <w:rPr>
          <w:rFonts w:hint="eastAsia" w:eastAsiaTheme="minorEastAsia"/>
          <w:i/>
          <w:iCs/>
          <w:color w:val="000000"/>
          <w:sz w:val="24"/>
          <w:szCs w:val="24"/>
        </w:rPr>
        <w:t>u</w:t>
      </w:r>
      <w:r>
        <w:rPr>
          <w:rFonts w:hint="eastAsia" w:eastAsiaTheme="minorEastAsia"/>
          <w:color w:val="000000"/>
          <w:sz w:val="24"/>
          <w:szCs w:val="24"/>
          <w:vertAlign w:val="subscript"/>
        </w:rPr>
        <w:t>2</w:t>
      </w:r>
    </w:p>
    <w:p w14:paraId="61CBB261">
      <w:pPr>
        <w:adjustRightInd/>
        <w:spacing w:line="360" w:lineRule="auto"/>
        <w:ind w:firstLine="480" w:firstLineChars="200"/>
        <w:rPr>
          <w:sz w:val="24"/>
        </w:rPr>
      </w:pPr>
      <w:r>
        <w:rPr>
          <w:sz w:val="24"/>
        </w:rPr>
        <w:t>由标准器证书查得，</w:t>
      </w:r>
      <w:r>
        <w:rPr>
          <w:rFonts w:hint="eastAsia"/>
          <w:sz w:val="24"/>
        </w:rPr>
        <w:t>标准器准确度为0.05级，最大允许误差为</w:t>
      </w:r>
      <w:r>
        <w:rPr>
          <w:rFonts w:hint="eastAsia" w:ascii="宋体" w:hAnsi="宋体"/>
          <w:sz w:val="24"/>
        </w:rPr>
        <w:t>±</w:t>
      </w:r>
      <w:r>
        <w:rPr>
          <w:rFonts w:hint="eastAsia"/>
          <w:sz w:val="24"/>
        </w:rPr>
        <w:t>0.05%FS</w:t>
      </w:r>
      <w:r>
        <w:rPr>
          <w:sz w:val="24"/>
        </w:rPr>
        <w:t>，</w:t>
      </w:r>
      <w:r>
        <w:rPr>
          <w:rFonts w:hint="eastAsia"/>
          <w:sz w:val="24"/>
        </w:rPr>
        <w:t>按均匀分布，则标准器最大允许误差引入的标准不确定度分量：</w:t>
      </w:r>
    </w:p>
    <w:p w14:paraId="5E8710F9">
      <w:pPr>
        <w:adjustRightInd/>
        <w:spacing w:line="360" w:lineRule="auto"/>
        <w:jc w:val="center"/>
        <w:rPr>
          <w:sz w:val="24"/>
        </w:rPr>
      </w:pPr>
      <w:bookmarkStart w:id="240" w:name="_Hlk203660914"/>
      <w:r>
        <w:rPr>
          <w:position w:val="-24"/>
          <w:sz w:val="24"/>
        </w:rPr>
        <w:object>
          <v:shape id="_x0000_i1075" o:spt="75" type="#_x0000_t75" style="height:35.5pt;width:167.95pt;" o:ole="t" filled="f" o:preferrelative="t" stroked="f" coordsize="21600,21600">
            <v:path/>
            <v:fill on="f" focussize="0,0"/>
            <v:stroke on="f" joinstyle="miter"/>
            <v:imagedata r:id="rId121" o:title=""/>
            <o:lock v:ext="edit" aspectratio="t"/>
            <w10:wrap type="none"/>
            <w10:anchorlock/>
          </v:shape>
          <o:OLEObject Type="Embed" ProgID="Equation.DSMT4" ShapeID="_x0000_i1075" DrawAspect="Content" ObjectID="_1468075776" r:id="rId120">
            <o:LockedField>false</o:LockedField>
          </o:OLEObject>
        </w:object>
      </w:r>
      <w:bookmarkEnd w:id="240"/>
      <w:r>
        <w:rPr>
          <w:sz w:val="24"/>
        </w:rPr>
        <w:t xml:space="preserve"> </w:t>
      </w:r>
    </w:p>
    <w:p w14:paraId="36044179">
      <w:pPr>
        <w:adjustRightInd/>
        <w:spacing w:line="360" w:lineRule="auto"/>
        <w:rPr>
          <w:color w:val="000000"/>
          <w:sz w:val="24"/>
          <w:szCs w:val="24"/>
        </w:rPr>
      </w:pPr>
      <w:r>
        <w:rPr>
          <w:rFonts w:hint="eastAsia"/>
          <w:color w:val="000000"/>
          <w:sz w:val="24"/>
          <w:szCs w:val="24"/>
        </w:rPr>
        <w:t>D</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 xml:space="preserve">1.3 </w:t>
      </w:r>
      <w:r>
        <w:rPr>
          <w:rFonts w:hint="eastAsia"/>
          <w:sz w:val="24"/>
          <w:szCs w:val="24"/>
        </w:rPr>
        <w:t>测量值的标准不确定度</w:t>
      </w:r>
    </w:p>
    <w:p w14:paraId="5C50963F">
      <w:pPr>
        <w:adjustRightInd/>
        <w:spacing w:line="360" w:lineRule="auto"/>
        <w:ind w:right="119" w:firstLine="480" w:firstLineChars="200"/>
        <w:rPr>
          <w:color w:val="000000"/>
          <w:sz w:val="24"/>
          <w:szCs w:val="24"/>
        </w:rPr>
      </w:pPr>
      <w:r>
        <w:rPr>
          <w:rFonts w:hint="eastAsia"/>
          <w:color w:val="000000"/>
          <w:sz w:val="24"/>
          <w:szCs w:val="24"/>
        </w:rPr>
        <w:t>测量值的标准不确定度通过以下公式获得：</w:t>
      </w:r>
    </w:p>
    <w:p w14:paraId="1D260E9A">
      <w:pPr>
        <w:adjustRightInd/>
        <w:spacing w:line="360" w:lineRule="auto"/>
        <w:ind w:firstLine="480" w:firstLineChars="200"/>
        <w:jc w:val="center"/>
        <w:rPr>
          <w:sz w:val="24"/>
        </w:rPr>
      </w:pPr>
      <w:bookmarkStart w:id="241" w:name="_Hlk207630335"/>
      <w:r>
        <w:rPr>
          <w:color w:val="000000"/>
          <w:position w:val="-38"/>
          <w:sz w:val="24"/>
          <w:szCs w:val="24"/>
        </w:rPr>
        <w:object>
          <v:shape id="_x0000_i1076" o:spt="75" type="#_x0000_t75" style="height:52.5pt;width:247.05pt;" o:ole="t" filled="f" o:preferrelative="t" stroked="f" coordsize="21600,21600">
            <v:path/>
            <v:fill on="f" focussize="0,0"/>
            <v:stroke on="f" joinstyle="miter"/>
            <v:imagedata r:id="rId123" o:title=""/>
            <o:lock v:ext="edit" aspectratio="t"/>
            <w10:wrap type="none"/>
            <w10:anchorlock/>
          </v:shape>
          <o:OLEObject Type="Embed" ProgID="Equation.DSMT4" ShapeID="_x0000_i1076" DrawAspect="Content" ObjectID="_1468075777" r:id="rId122">
            <o:LockedField>false</o:LockedField>
          </o:OLEObject>
        </w:object>
      </w:r>
      <w:bookmarkEnd w:id="241"/>
    </w:p>
    <w:p w14:paraId="04005E7F">
      <w:pPr>
        <w:adjustRightInd/>
        <w:spacing w:line="360" w:lineRule="auto"/>
        <w:rPr>
          <w:color w:val="000000"/>
          <w:sz w:val="24"/>
          <w:szCs w:val="24"/>
        </w:rPr>
      </w:pPr>
      <w:r>
        <w:rPr>
          <w:rFonts w:hint="eastAsia"/>
          <w:color w:val="000000"/>
          <w:sz w:val="24"/>
          <w:szCs w:val="24"/>
        </w:rPr>
        <w:t>D</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2 示值的标准不确定度</w:t>
      </w:r>
      <w:r>
        <w:rPr>
          <w:position w:val="-12"/>
          <w:sz w:val="24"/>
        </w:rPr>
        <w:object>
          <v:shape id="_x0000_i1077" o:spt="75" type="#_x0000_t75" style="height:20.6pt;width:32.4pt;" o:ole="t" filled="f" o:preferrelative="t" stroked="f" coordsize="21600,21600">
            <v:path/>
            <v:fill on="f" focussize="0,0"/>
            <v:stroke on="f" joinstyle="miter"/>
            <v:imagedata r:id="rId125" o:title=""/>
            <o:lock v:ext="edit" aspectratio="t"/>
            <w10:wrap type="none"/>
            <w10:anchorlock/>
          </v:shape>
          <o:OLEObject Type="Embed" ProgID="Equation.DSMT4" ShapeID="_x0000_i1077" DrawAspect="Content" ObjectID="_1468075778" r:id="rId124">
            <o:LockedField>false</o:LockedField>
          </o:OLEObject>
        </w:object>
      </w:r>
    </w:p>
    <w:p w14:paraId="5163D708">
      <w:pPr>
        <w:adjustRightInd/>
        <w:spacing w:line="360" w:lineRule="auto"/>
        <w:ind w:firstLine="480" w:firstLineChars="200"/>
        <w:rPr>
          <w:color w:val="000000"/>
          <w:sz w:val="24"/>
          <w:szCs w:val="24"/>
        </w:rPr>
      </w:pPr>
      <w:r>
        <w:rPr>
          <w:rFonts w:hint="eastAsia"/>
          <w:sz w:val="24"/>
          <w:szCs w:val="24"/>
        </w:rPr>
        <w:t>压力示值的不确定度主要由被检压力示值估读引入。</w:t>
      </w:r>
      <w:r>
        <w:rPr>
          <w:rFonts w:hint="eastAsia"/>
          <w:color w:val="000000"/>
          <w:sz w:val="24"/>
          <w:szCs w:val="24"/>
        </w:rPr>
        <w:t>空气释放值测定仪的压力表的测量范围为（</w:t>
      </w:r>
      <w:r>
        <w:rPr>
          <w:color w:val="000000"/>
          <w:sz w:val="24"/>
          <w:szCs w:val="24"/>
        </w:rPr>
        <w:t>0~0.1</w:t>
      </w:r>
      <w:r>
        <w:rPr>
          <w:rFonts w:hint="eastAsia"/>
          <w:color w:val="000000"/>
          <w:sz w:val="24"/>
          <w:szCs w:val="24"/>
        </w:rPr>
        <w:t>）MPa，最小分度值为5 kPa，被检压力表按分度值1/5估读，即估读误差为</w:t>
      </w:r>
      <w:r>
        <w:rPr>
          <w:color w:val="000000"/>
          <w:sz w:val="24"/>
          <w:szCs w:val="24"/>
        </w:rPr>
        <w:t>±1</w:t>
      </w:r>
      <w:r>
        <w:rPr>
          <w:rFonts w:hint="eastAsia"/>
          <w:color w:val="000000"/>
          <w:sz w:val="24"/>
          <w:szCs w:val="24"/>
        </w:rPr>
        <w:t xml:space="preserve"> kPa，</w:t>
      </w:r>
      <w:r>
        <w:rPr>
          <w:rFonts w:hint="eastAsia"/>
          <w:sz w:val="24"/>
        </w:rPr>
        <w:t>按均匀分布</w:t>
      </w:r>
      <w:r>
        <w:rPr>
          <w:rFonts w:hint="eastAsia"/>
          <w:color w:val="000000"/>
          <w:sz w:val="24"/>
          <w:szCs w:val="24"/>
        </w:rPr>
        <w:t>，则</w:t>
      </w:r>
      <w:r>
        <w:rPr>
          <w:rFonts w:hint="eastAsia"/>
          <w:sz w:val="24"/>
          <w:szCs w:val="24"/>
        </w:rPr>
        <w:t>被检压力示值估读引入的标准不确定度分量：</w:t>
      </w:r>
    </w:p>
    <w:p w14:paraId="74DDDEE1">
      <w:pPr>
        <w:adjustRightInd/>
        <w:spacing w:line="360" w:lineRule="auto"/>
        <w:jc w:val="center"/>
        <w:rPr>
          <w:color w:val="000000"/>
          <w:sz w:val="24"/>
          <w:szCs w:val="24"/>
        </w:rPr>
      </w:pPr>
      <w:bookmarkStart w:id="242" w:name="_Hlk203660926"/>
      <w:r>
        <w:rPr>
          <w:position w:val="-24"/>
          <w:sz w:val="24"/>
        </w:rPr>
        <w:object>
          <v:shape id="_x0000_i1078" o:spt="75" type="#_x0000_t75" style="height:35.5pt;width:123.4pt;" o:ole="t" filled="f" o:preferrelative="t" stroked="f" coordsize="21600,21600">
            <v:path/>
            <v:fill on="f" focussize="0,0"/>
            <v:stroke on="f" joinstyle="miter"/>
            <v:imagedata r:id="rId127" o:title=""/>
            <o:lock v:ext="edit" aspectratio="t"/>
            <w10:wrap type="none"/>
            <w10:anchorlock/>
          </v:shape>
          <o:OLEObject Type="Embed" ProgID="Equation.DSMT4" ShapeID="_x0000_i1078" DrawAspect="Content" ObjectID="_1468075779" r:id="rId126">
            <o:LockedField>false</o:LockedField>
          </o:OLEObject>
        </w:object>
      </w:r>
      <w:bookmarkEnd w:id="242"/>
    </w:p>
    <w:p w14:paraId="71495092">
      <w:pPr>
        <w:spacing w:line="360" w:lineRule="auto"/>
        <w:rPr>
          <w:rFonts w:eastAsia="黑体"/>
          <w:color w:val="000000"/>
          <w:sz w:val="24"/>
          <w:szCs w:val="24"/>
        </w:rPr>
      </w:pPr>
      <w:r>
        <w:rPr>
          <w:rFonts w:hint="eastAsia"/>
          <w:color w:val="000000"/>
          <w:sz w:val="24"/>
          <w:szCs w:val="24"/>
        </w:rPr>
        <w:t>D</w:t>
      </w:r>
      <w:r>
        <w:rPr>
          <w:color w:val="000000"/>
          <w:sz w:val="24"/>
          <w:szCs w:val="24"/>
        </w:rPr>
        <w:t>.5</w:t>
      </w:r>
      <w:r>
        <w:rPr>
          <w:rFonts w:hint="eastAsia"/>
          <w:color w:val="000000"/>
          <w:sz w:val="24"/>
          <w:szCs w:val="24"/>
        </w:rPr>
        <w:t xml:space="preserve"> </w:t>
      </w:r>
      <w:r>
        <w:rPr>
          <w:rFonts w:eastAsia="黑体"/>
          <w:color w:val="000000"/>
          <w:sz w:val="24"/>
          <w:szCs w:val="24"/>
        </w:rPr>
        <w:t>合成</w:t>
      </w:r>
      <w:r>
        <w:rPr>
          <w:rFonts w:hint="eastAsia" w:eastAsia="黑体"/>
          <w:color w:val="000000"/>
          <w:sz w:val="24"/>
          <w:szCs w:val="24"/>
        </w:rPr>
        <w:t>标准不确定度</w:t>
      </w:r>
    </w:p>
    <w:p w14:paraId="24A4D479">
      <w:pPr>
        <w:spacing w:line="360" w:lineRule="auto"/>
        <w:ind w:firstLine="480" w:firstLineChars="200"/>
        <w:rPr>
          <w:rFonts w:eastAsiaTheme="minorEastAsia"/>
          <w:color w:val="000000"/>
          <w:sz w:val="24"/>
          <w:szCs w:val="24"/>
        </w:rPr>
      </w:pPr>
      <w:r>
        <w:rPr>
          <w:rFonts w:hint="eastAsia" w:eastAsiaTheme="minorEastAsia"/>
          <w:color w:val="000000"/>
          <w:sz w:val="24"/>
          <w:szCs w:val="24"/>
        </w:rPr>
        <w:t>合成标准不确定度</w:t>
      </w:r>
      <w:r>
        <w:rPr>
          <w:position w:val="-12"/>
          <w:sz w:val="24"/>
        </w:rPr>
        <w:object>
          <v:shape id="_x0000_i1079" o:spt="75" type="#_x0000_t75" style="height:20.5pt;width:41pt;" o:ole="t" filled="f" o:preferrelative="t" stroked="f" coordsize="21600,21600">
            <v:path/>
            <v:fill on="f" focussize="0,0"/>
            <v:stroke on="f" joinstyle="miter"/>
            <v:imagedata r:id="rId129" o:title=""/>
            <o:lock v:ext="edit" aspectratio="t"/>
            <w10:wrap type="none"/>
            <w10:anchorlock/>
          </v:shape>
          <o:OLEObject Type="Embed" ProgID="Equation.DSMT4" ShapeID="_x0000_i1079" DrawAspect="Content" ObjectID="_1468075780" r:id="rId128">
            <o:LockedField>false</o:LockedField>
          </o:OLEObject>
        </w:object>
      </w:r>
      <w:r>
        <w:rPr>
          <w:rFonts w:eastAsiaTheme="minorEastAsia"/>
          <w:color w:val="000000"/>
          <w:sz w:val="24"/>
          <w:szCs w:val="24"/>
        </w:rPr>
        <w:t>按式（</w:t>
      </w:r>
      <w:r>
        <w:rPr>
          <w:rFonts w:hint="eastAsia" w:eastAsiaTheme="minorEastAsia"/>
          <w:color w:val="000000"/>
          <w:sz w:val="24"/>
          <w:szCs w:val="24"/>
        </w:rPr>
        <w:t>D</w:t>
      </w:r>
      <w:r>
        <w:rPr>
          <w:rFonts w:eastAsiaTheme="minorEastAsia"/>
          <w:color w:val="000000"/>
          <w:sz w:val="24"/>
          <w:szCs w:val="24"/>
        </w:rPr>
        <w:t>.</w:t>
      </w:r>
      <w:r>
        <w:rPr>
          <w:rFonts w:hint="eastAsia" w:eastAsiaTheme="minorEastAsia"/>
          <w:color w:val="000000"/>
          <w:sz w:val="24"/>
          <w:szCs w:val="24"/>
        </w:rPr>
        <w:t>2</w:t>
      </w:r>
      <w:r>
        <w:rPr>
          <w:rFonts w:eastAsiaTheme="minorEastAsia"/>
          <w:color w:val="000000"/>
          <w:sz w:val="24"/>
          <w:szCs w:val="24"/>
        </w:rPr>
        <w:t>）计算：</w:t>
      </w:r>
    </w:p>
    <w:p w14:paraId="6277DAEE">
      <w:pPr>
        <w:spacing w:line="360" w:lineRule="auto"/>
        <w:ind w:firstLine="435"/>
        <w:jc w:val="center"/>
        <w:rPr>
          <w:sz w:val="24"/>
          <w:szCs w:val="24"/>
        </w:rPr>
      </w:pPr>
      <w:bookmarkStart w:id="243" w:name="_Hlk207630391"/>
      <w:r>
        <w:rPr>
          <w:position w:val="-42"/>
          <w:sz w:val="24"/>
        </w:rPr>
        <w:object>
          <v:shape id="_x0000_i1080" o:spt="75" type="#_x0000_t75" style="height:56.5pt;width:247.8pt;" o:ole="t" filled="f" o:preferrelative="t" stroked="f" coordsize="21600,21600">
            <v:path/>
            <v:fill on="f" focussize="0,0"/>
            <v:stroke on="f" joinstyle="miter"/>
            <v:imagedata r:id="rId131" o:title=""/>
            <o:lock v:ext="edit" aspectratio="t"/>
            <w10:wrap type="none"/>
            <w10:anchorlock/>
          </v:shape>
          <o:OLEObject Type="Embed" ProgID="Equation.DSMT4" ShapeID="_x0000_i1080" DrawAspect="Content" ObjectID="_1468075781" r:id="rId130">
            <o:LockedField>false</o:LockedField>
          </o:OLEObject>
        </w:object>
      </w:r>
      <w:bookmarkEnd w:id="243"/>
    </w:p>
    <w:p w14:paraId="2B16C669">
      <w:pPr>
        <w:pStyle w:val="21"/>
        <w:tabs>
          <w:tab w:val="left" w:pos="425"/>
        </w:tabs>
        <w:spacing w:before="120" w:after="120" w:line="360" w:lineRule="auto"/>
        <w:ind w:left="0" w:right="221" w:firstLine="0"/>
        <w:rPr>
          <w:color w:val="000000"/>
          <w:sz w:val="24"/>
          <w:szCs w:val="24"/>
        </w:rPr>
      </w:pPr>
      <w:r>
        <w:rPr>
          <w:rFonts w:hint="eastAsia" w:eastAsia="黑体"/>
          <w:color w:val="000000"/>
          <w:sz w:val="24"/>
          <w:szCs w:val="24"/>
        </w:rPr>
        <w:t>D</w:t>
      </w:r>
      <w:r>
        <w:rPr>
          <w:rFonts w:eastAsia="黑体"/>
          <w:color w:val="000000"/>
          <w:sz w:val="24"/>
          <w:szCs w:val="24"/>
        </w:rPr>
        <w:t>.6</w:t>
      </w:r>
      <w:r>
        <w:rPr>
          <w:rFonts w:hint="eastAsia" w:eastAsia="黑体"/>
          <w:color w:val="000000"/>
          <w:sz w:val="24"/>
          <w:szCs w:val="24"/>
        </w:rPr>
        <w:t xml:space="preserve"> </w:t>
      </w:r>
      <w:r>
        <w:rPr>
          <w:rFonts w:eastAsia="黑体"/>
          <w:color w:val="000000"/>
          <w:sz w:val="24"/>
          <w:szCs w:val="24"/>
        </w:rPr>
        <w:t>扩展不确定度</w:t>
      </w:r>
    </w:p>
    <w:p w14:paraId="23C67DD7">
      <w:pPr>
        <w:pStyle w:val="21"/>
        <w:tabs>
          <w:tab w:val="left" w:pos="425"/>
        </w:tabs>
        <w:adjustRightInd w:val="0"/>
        <w:spacing w:before="120" w:after="120" w:line="360" w:lineRule="auto"/>
        <w:ind w:left="0" w:right="221" w:firstLine="480" w:firstLineChars="200"/>
        <w:rPr>
          <w:color w:val="000000"/>
          <w:sz w:val="24"/>
          <w:szCs w:val="24"/>
        </w:rPr>
      </w:pPr>
      <w:r>
        <w:rPr>
          <w:color w:val="000000"/>
          <w:sz w:val="24"/>
          <w:szCs w:val="24"/>
        </w:rPr>
        <w:t>取</w:t>
      </w:r>
      <w:r>
        <w:rPr>
          <w:rFonts w:hint="eastAsia"/>
          <w:color w:val="000000"/>
          <w:sz w:val="24"/>
          <w:szCs w:val="24"/>
        </w:rPr>
        <w:t>包含</w:t>
      </w:r>
      <w:r>
        <w:rPr>
          <w:color w:val="000000"/>
          <w:sz w:val="24"/>
          <w:szCs w:val="24"/>
        </w:rPr>
        <w:t>因子</w:t>
      </w:r>
      <w:r>
        <w:rPr>
          <w:i/>
          <w:color w:val="000000"/>
          <w:sz w:val="24"/>
          <w:szCs w:val="24"/>
        </w:rPr>
        <w:t>k</w:t>
      </w:r>
      <w:r>
        <w:rPr>
          <w:color w:val="000000"/>
          <w:sz w:val="24"/>
          <w:szCs w:val="24"/>
        </w:rPr>
        <w:t>=2，</w:t>
      </w:r>
      <w:r>
        <w:rPr>
          <w:rFonts w:hint="eastAsia"/>
          <w:color w:val="000000"/>
          <w:sz w:val="24"/>
          <w:szCs w:val="24"/>
        </w:rPr>
        <w:t>则</w:t>
      </w:r>
      <w:r>
        <w:rPr>
          <w:rFonts w:hint="eastAsia"/>
          <w:sz w:val="24"/>
          <w:szCs w:val="24"/>
        </w:rPr>
        <w:t>压力示值误差校准结果的扩展不确定度为：</w:t>
      </w:r>
    </w:p>
    <w:p w14:paraId="10D676D4">
      <w:pPr>
        <w:pStyle w:val="21"/>
        <w:tabs>
          <w:tab w:val="left" w:pos="425"/>
        </w:tabs>
        <w:adjustRightInd w:val="0"/>
        <w:spacing w:before="120" w:after="120" w:line="360" w:lineRule="auto"/>
        <w:ind w:left="0" w:right="221" w:firstLine="480" w:firstLineChars="200"/>
        <w:jc w:val="center"/>
        <w:rPr>
          <w:rFonts w:hAnsi="Cambria Math"/>
          <w:sz w:val="24"/>
          <w:szCs w:val="24"/>
        </w:rPr>
      </w:pPr>
      <w:r>
        <w:rPr>
          <w:rFonts w:hAnsi="Cambria Math"/>
          <w:i/>
          <w:iCs/>
          <w:position w:val="-12"/>
          <w:sz w:val="24"/>
          <w:szCs w:val="24"/>
        </w:rPr>
        <w:object>
          <v:shape id="_x0000_i1081" o:spt="75" type="#_x0000_t75" style="height:22pt;width:188.05pt;" o:ole="t" filled="f" o:preferrelative="t" stroked="f" coordsize="21600,21600">
            <v:path/>
            <v:fill on="f" focussize="0,0"/>
            <v:stroke on="f" joinstyle="miter"/>
            <v:imagedata r:id="rId133" o:title=""/>
            <o:lock v:ext="edit" aspectratio="t"/>
            <w10:wrap type="none"/>
            <w10:anchorlock/>
          </v:shape>
          <o:OLEObject Type="Embed" ProgID="Equation.DSMT4" ShapeID="_x0000_i1081" DrawAspect="Content" ObjectID="_1468075782" r:id="rId132">
            <o:LockedField>false</o:LockedField>
          </o:OLEObject>
        </w:object>
      </w:r>
      <w:r>
        <w:rPr>
          <w:rFonts w:hAnsi="Cambria Math"/>
          <w:i/>
          <w:iCs/>
          <w:sz w:val="24"/>
          <w:szCs w:val="24"/>
        </w:rPr>
        <w:t xml:space="preserve"> </w:t>
      </w:r>
    </w:p>
    <w:bookmarkEnd w:id="226"/>
    <w:p w14:paraId="69329313">
      <w:pPr>
        <w:widowControl/>
        <w:adjustRightInd/>
        <w:spacing w:line="240" w:lineRule="auto"/>
        <w:jc w:val="left"/>
        <w:rPr>
          <w:position w:val="-12"/>
          <w:sz w:val="24"/>
          <w:szCs w:val="24"/>
        </w:rPr>
      </w:pPr>
      <w:r>
        <w:rPr>
          <w:position w:val="-12"/>
          <w:sz w:val="24"/>
          <w:szCs w:val="24"/>
        </w:rPr>
        <w:br w:type="page"/>
      </w:r>
    </w:p>
    <w:p w14:paraId="0CACD04A">
      <w:pPr>
        <w:pStyle w:val="146"/>
        <w:spacing w:line="300" w:lineRule="auto"/>
        <w:jc w:val="left"/>
        <w:rPr>
          <w:rFonts w:ascii="Times New Roman"/>
          <w:color w:val="000000"/>
          <w:sz w:val="28"/>
          <w:szCs w:val="28"/>
        </w:rPr>
      </w:pPr>
      <w:bookmarkStart w:id="244" w:name="_Toc196840025"/>
      <w:r>
        <w:rPr>
          <w:rFonts w:hint="eastAsia" w:ascii="Times New Roman"/>
          <w:color w:val="000000"/>
          <w:sz w:val="28"/>
          <w:szCs w:val="28"/>
        </w:rPr>
        <w:t>附录E</w:t>
      </w:r>
      <w:bookmarkEnd w:id="244"/>
    </w:p>
    <w:p w14:paraId="5CBF65E5">
      <w:pPr>
        <w:spacing w:line="360" w:lineRule="auto"/>
        <w:jc w:val="center"/>
        <w:rPr>
          <w:color w:val="000000"/>
          <w:sz w:val="30"/>
          <w:szCs w:val="30"/>
        </w:rPr>
      </w:pPr>
      <w:r>
        <w:rPr>
          <w:rFonts w:hint="eastAsia" w:ascii="黑体" w:hAnsi="黑体" w:eastAsia="黑体" w:cs="黑体"/>
          <w:sz w:val="30"/>
          <w:szCs w:val="30"/>
        </w:rPr>
        <w:t>称量示值误差测量结果的不确定度评定示例</w:t>
      </w:r>
    </w:p>
    <w:p w14:paraId="35B4F92E">
      <w:pPr>
        <w:spacing w:before="120" w:after="120" w:line="360" w:lineRule="auto"/>
        <w:rPr>
          <w:rFonts w:eastAsia="黑体"/>
          <w:color w:val="000000"/>
          <w:sz w:val="24"/>
          <w:szCs w:val="24"/>
        </w:rPr>
      </w:pPr>
      <w:bookmarkStart w:id="245" w:name="OLE_LINK47"/>
      <w:r>
        <w:rPr>
          <w:rFonts w:hint="eastAsia" w:eastAsia="黑体"/>
          <w:color w:val="000000"/>
          <w:sz w:val="24"/>
          <w:szCs w:val="24"/>
        </w:rPr>
        <w:t>E</w:t>
      </w:r>
      <w:r>
        <w:rPr>
          <w:rFonts w:eastAsia="黑体"/>
          <w:color w:val="000000"/>
          <w:sz w:val="24"/>
          <w:szCs w:val="24"/>
        </w:rPr>
        <w:t>.1</w:t>
      </w:r>
      <w:r>
        <w:rPr>
          <w:rFonts w:hint="eastAsia" w:eastAsia="黑体"/>
          <w:color w:val="000000"/>
          <w:sz w:val="24"/>
          <w:szCs w:val="24"/>
        </w:rPr>
        <w:t>概述</w:t>
      </w:r>
    </w:p>
    <w:p w14:paraId="7AC81E44">
      <w:pPr>
        <w:spacing w:before="120" w:after="120" w:line="360" w:lineRule="auto"/>
        <w:rPr>
          <w:rFonts w:eastAsiaTheme="minorEastAsia"/>
          <w:color w:val="000000"/>
          <w:sz w:val="24"/>
          <w:szCs w:val="24"/>
        </w:rPr>
      </w:pPr>
      <w:r>
        <w:rPr>
          <w:rFonts w:hint="eastAsia" w:eastAsiaTheme="minorEastAsia"/>
          <w:color w:val="000000"/>
          <w:sz w:val="24"/>
          <w:szCs w:val="24"/>
        </w:rPr>
        <w:t>E</w:t>
      </w:r>
      <w:r>
        <w:rPr>
          <w:rFonts w:eastAsiaTheme="minorEastAsia"/>
          <w:color w:val="000000"/>
          <w:sz w:val="24"/>
          <w:szCs w:val="24"/>
        </w:rPr>
        <w:t xml:space="preserve">.1.1 </w:t>
      </w:r>
      <w:r>
        <w:rPr>
          <w:rFonts w:eastAsia="黑体"/>
          <w:color w:val="000000"/>
          <w:sz w:val="24"/>
          <w:szCs w:val="24"/>
        </w:rPr>
        <w:t>环境条件：</w:t>
      </w:r>
      <w:r>
        <w:rPr>
          <w:rFonts w:eastAsiaTheme="minorEastAsia"/>
          <w:color w:val="000000"/>
          <w:sz w:val="24"/>
          <w:szCs w:val="24"/>
        </w:rPr>
        <w:t>温度（</w:t>
      </w:r>
      <w:r>
        <w:rPr>
          <w:rFonts w:hint="eastAsia" w:eastAsiaTheme="minorEastAsia"/>
          <w:color w:val="000000"/>
          <w:sz w:val="24"/>
          <w:szCs w:val="24"/>
        </w:rPr>
        <w:t>15</w:t>
      </w:r>
      <w:r>
        <w:rPr>
          <w:rFonts w:eastAsiaTheme="minorEastAsia"/>
          <w:color w:val="000000"/>
          <w:sz w:val="24"/>
          <w:szCs w:val="24"/>
        </w:rPr>
        <w:t>~</w:t>
      </w:r>
      <w:r>
        <w:rPr>
          <w:rFonts w:hint="eastAsia" w:eastAsiaTheme="minorEastAsia"/>
          <w:color w:val="000000"/>
          <w:sz w:val="24"/>
          <w:szCs w:val="24"/>
        </w:rPr>
        <w:t>35</w:t>
      </w:r>
      <w:r>
        <w:rPr>
          <w:rFonts w:eastAsiaTheme="minorEastAsia"/>
          <w:color w:val="000000"/>
          <w:sz w:val="24"/>
          <w:szCs w:val="24"/>
        </w:rPr>
        <w:t>）</w:t>
      </w:r>
      <w:r>
        <w:rPr>
          <w:rFonts w:hint="eastAsia"/>
          <w:color w:val="000000"/>
          <w:sz w:val="24"/>
          <w:szCs w:val="24"/>
        </w:rPr>
        <w:t>℃</w:t>
      </w:r>
      <w:r>
        <w:rPr>
          <w:rFonts w:eastAsiaTheme="minorEastAsia"/>
          <w:color w:val="000000"/>
          <w:sz w:val="24"/>
          <w:szCs w:val="24"/>
        </w:rPr>
        <w:t>，</w:t>
      </w:r>
      <w:r>
        <w:rPr>
          <w:rFonts w:hint="eastAsia" w:eastAsiaTheme="minorEastAsia"/>
          <w:color w:val="000000"/>
          <w:sz w:val="24"/>
          <w:szCs w:val="24"/>
        </w:rPr>
        <w:t>相对</w:t>
      </w:r>
      <w:r>
        <w:rPr>
          <w:rFonts w:eastAsiaTheme="minorEastAsia"/>
          <w:color w:val="000000"/>
          <w:sz w:val="24"/>
          <w:szCs w:val="24"/>
        </w:rPr>
        <w:t>湿度</w:t>
      </w:r>
      <w:r>
        <w:rPr>
          <w:rFonts w:hint="eastAsia" w:eastAsiaTheme="minorEastAsia"/>
          <w:color w:val="000000"/>
          <w:sz w:val="24"/>
          <w:szCs w:val="24"/>
        </w:rPr>
        <w:t>不大于80</w:t>
      </w:r>
      <w:r>
        <w:rPr>
          <w:rFonts w:eastAsiaTheme="minorEastAsia"/>
          <w:color w:val="000000"/>
          <w:sz w:val="24"/>
          <w:szCs w:val="24"/>
        </w:rPr>
        <w:t>%。</w:t>
      </w:r>
    </w:p>
    <w:p w14:paraId="6A3E1E9F">
      <w:pPr>
        <w:spacing w:before="120" w:after="120" w:line="360" w:lineRule="auto"/>
        <w:rPr>
          <w:rFonts w:eastAsiaTheme="minorEastAsia"/>
          <w:color w:val="000000"/>
          <w:sz w:val="24"/>
          <w:szCs w:val="24"/>
        </w:rPr>
      </w:pPr>
      <w:r>
        <w:rPr>
          <w:rFonts w:hint="eastAsia" w:eastAsiaTheme="minorEastAsia"/>
          <w:color w:val="000000"/>
          <w:sz w:val="24"/>
          <w:szCs w:val="24"/>
        </w:rPr>
        <w:t>E</w:t>
      </w:r>
      <w:r>
        <w:rPr>
          <w:rFonts w:eastAsiaTheme="minorEastAsia"/>
          <w:color w:val="000000"/>
          <w:sz w:val="24"/>
          <w:szCs w:val="24"/>
        </w:rPr>
        <w:t xml:space="preserve">.1.2 </w:t>
      </w:r>
      <w:r>
        <w:rPr>
          <w:rFonts w:hint="eastAsia" w:eastAsia="黑体"/>
          <w:color w:val="000000"/>
          <w:sz w:val="24"/>
          <w:szCs w:val="24"/>
        </w:rPr>
        <w:t>测量</w:t>
      </w:r>
      <w:r>
        <w:rPr>
          <w:rFonts w:eastAsia="黑体"/>
          <w:color w:val="000000"/>
          <w:sz w:val="24"/>
          <w:szCs w:val="24"/>
        </w:rPr>
        <w:t>标准：</w:t>
      </w:r>
      <w:r>
        <w:rPr>
          <w:rFonts w:hint="eastAsia"/>
          <w:color w:val="000000"/>
          <w:sz w:val="24"/>
          <w:szCs w:val="24"/>
        </w:rPr>
        <w:t>F1级标准砝码，测量范围（0~200）g</w:t>
      </w:r>
      <w:r>
        <w:rPr>
          <w:rFonts w:eastAsiaTheme="minorEastAsia"/>
          <w:color w:val="000000"/>
          <w:sz w:val="24"/>
          <w:szCs w:val="24"/>
        </w:rPr>
        <w:t>。</w:t>
      </w:r>
    </w:p>
    <w:p w14:paraId="6C29A6C8">
      <w:pPr>
        <w:spacing w:before="120" w:after="120" w:line="360" w:lineRule="auto"/>
        <w:rPr>
          <w:rFonts w:eastAsiaTheme="minorEastAsia"/>
          <w:color w:val="000000"/>
          <w:sz w:val="24"/>
          <w:szCs w:val="24"/>
        </w:rPr>
      </w:pPr>
      <w:r>
        <w:rPr>
          <w:rFonts w:hint="eastAsia" w:eastAsiaTheme="minorEastAsia"/>
          <w:color w:val="000000"/>
          <w:sz w:val="24"/>
          <w:szCs w:val="24"/>
        </w:rPr>
        <w:t>E</w:t>
      </w:r>
      <w:r>
        <w:rPr>
          <w:rFonts w:eastAsiaTheme="minorEastAsia"/>
          <w:color w:val="000000"/>
          <w:sz w:val="24"/>
          <w:szCs w:val="24"/>
        </w:rPr>
        <w:t xml:space="preserve">.1.3 </w:t>
      </w:r>
      <w:r>
        <w:rPr>
          <w:rFonts w:eastAsia="黑体"/>
          <w:color w:val="000000"/>
          <w:sz w:val="24"/>
          <w:szCs w:val="24"/>
        </w:rPr>
        <w:t>测量方法</w:t>
      </w:r>
    </w:p>
    <w:p w14:paraId="2CE47BD8">
      <w:pPr>
        <w:spacing w:line="360" w:lineRule="auto"/>
        <w:ind w:firstLine="480" w:firstLineChars="200"/>
        <w:rPr>
          <w:sz w:val="24"/>
        </w:rPr>
      </w:pPr>
      <w:bookmarkStart w:id="246" w:name="_Hlk203661165"/>
      <w:r>
        <w:rPr>
          <w:rFonts w:hint="eastAsia"/>
          <w:sz w:val="24"/>
        </w:rPr>
        <w:t>将天平示值置零，从零载荷顺序增加至最大称量，将标准砝码依次挂到天平上。在天平示值稳定的情况下，读取并记录天平示值</w:t>
      </w:r>
      <w:bookmarkStart w:id="247" w:name="OLE_LINK51"/>
      <w:r>
        <w:rPr>
          <w:rFonts w:hint="eastAsia"/>
          <w:i/>
          <w:iCs/>
          <w:sz w:val="24"/>
        </w:rPr>
        <w:t>m</w:t>
      </w:r>
      <w:r>
        <w:rPr>
          <w:rFonts w:hint="eastAsia"/>
          <w:i/>
          <w:iCs/>
          <w:sz w:val="24"/>
          <w:vertAlign w:val="subscript"/>
        </w:rPr>
        <w:t>i</w:t>
      </w:r>
      <w:bookmarkEnd w:id="247"/>
      <w:r>
        <w:rPr>
          <w:rFonts w:hint="eastAsia"/>
          <w:sz w:val="24"/>
        </w:rPr>
        <w:t>。以试验载荷50 g为例，</w:t>
      </w:r>
      <w:r>
        <w:rPr>
          <w:rFonts w:hint="eastAsia"/>
          <w:sz w:val="24"/>
          <w:szCs w:val="24"/>
        </w:rPr>
        <w:t>对称量示值误差的不确定度进行评定。</w:t>
      </w:r>
    </w:p>
    <w:bookmarkEnd w:id="246"/>
    <w:p w14:paraId="5CC206F2">
      <w:pPr>
        <w:spacing w:before="120" w:after="120" w:line="276" w:lineRule="auto"/>
        <w:rPr>
          <w:rFonts w:eastAsia="黑体"/>
          <w:color w:val="000000"/>
          <w:sz w:val="24"/>
          <w:szCs w:val="24"/>
        </w:rPr>
      </w:pPr>
      <w:r>
        <w:rPr>
          <w:rFonts w:hint="eastAsia" w:eastAsia="黑体"/>
          <w:color w:val="000000"/>
          <w:sz w:val="24"/>
          <w:szCs w:val="24"/>
        </w:rPr>
        <w:t>E</w:t>
      </w:r>
      <w:r>
        <w:rPr>
          <w:rFonts w:eastAsia="黑体"/>
          <w:color w:val="000000"/>
          <w:sz w:val="24"/>
          <w:szCs w:val="24"/>
        </w:rPr>
        <w:t>.2</w:t>
      </w:r>
      <w:r>
        <w:rPr>
          <w:rFonts w:hint="eastAsia" w:eastAsia="黑体"/>
          <w:color w:val="000000"/>
          <w:sz w:val="24"/>
          <w:szCs w:val="24"/>
        </w:rPr>
        <w:t xml:space="preserve"> </w:t>
      </w:r>
      <w:r>
        <w:rPr>
          <w:rFonts w:eastAsia="黑体"/>
          <w:color w:val="000000"/>
          <w:sz w:val="24"/>
          <w:szCs w:val="24"/>
        </w:rPr>
        <w:t>测量模型</w:t>
      </w:r>
    </w:p>
    <w:p w14:paraId="1A916143">
      <w:pPr>
        <w:spacing w:before="120" w:after="120" w:line="360" w:lineRule="auto"/>
        <w:ind w:firstLine="480" w:firstLineChars="200"/>
        <w:rPr>
          <w:rFonts w:eastAsiaTheme="minorEastAsia"/>
          <w:color w:val="000000"/>
          <w:sz w:val="24"/>
          <w:szCs w:val="24"/>
        </w:rPr>
      </w:pPr>
      <w:r>
        <w:rPr>
          <w:rFonts w:hint="eastAsia" w:eastAsiaTheme="minorEastAsia"/>
          <w:color w:val="000000"/>
          <w:sz w:val="24"/>
          <w:szCs w:val="24"/>
        </w:rPr>
        <w:t>根据润滑油空气释放值测定仪校准规范，</w:t>
      </w:r>
      <w:r>
        <w:rPr>
          <w:rFonts w:eastAsiaTheme="minorEastAsia"/>
          <w:color w:val="000000"/>
          <w:sz w:val="24"/>
          <w:szCs w:val="24"/>
        </w:rPr>
        <w:t>按照式（</w:t>
      </w:r>
      <w:r>
        <w:rPr>
          <w:rFonts w:hint="eastAsia" w:eastAsiaTheme="minorEastAsia"/>
          <w:color w:val="000000"/>
          <w:sz w:val="24"/>
          <w:szCs w:val="24"/>
        </w:rPr>
        <w:t>E</w:t>
      </w:r>
      <w:r>
        <w:rPr>
          <w:rFonts w:eastAsiaTheme="minorEastAsia"/>
          <w:color w:val="000000"/>
          <w:sz w:val="24"/>
          <w:szCs w:val="24"/>
        </w:rPr>
        <w:t>.1</w:t>
      </w:r>
      <w:r>
        <w:rPr>
          <w:rFonts w:hint="eastAsia" w:eastAsiaTheme="minorEastAsia"/>
          <w:color w:val="000000"/>
          <w:sz w:val="24"/>
          <w:szCs w:val="24"/>
        </w:rPr>
        <w:t>）计算称量示值误差。</w:t>
      </w:r>
    </w:p>
    <w:p w14:paraId="4F40310D">
      <w:pPr>
        <w:spacing w:line="360" w:lineRule="auto"/>
        <w:jc w:val="right"/>
        <w:rPr>
          <w:sz w:val="24"/>
        </w:rPr>
      </w:pPr>
      <w:r>
        <w:rPr>
          <w:rFonts w:hint="eastAsia"/>
          <w:position w:val="-12"/>
        </w:rPr>
        <w:t xml:space="preserve">                          </w:t>
      </w:r>
      <w:bookmarkStart w:id="248" w:name="_Hlk207630444"/>
      <w:r>
        <w:rPr>
          <w:position w:val="-10"/>
          <w:sz w:val="24"/>
        </w:rPr>
        <w:object>
          <v:shape id="_x0000_i1082" o:spt="75" type="#_x0000_t75" style="height:18.5pt;width:73.4pt;" o:ole="t" filled="f" o:preferrelative="t" stroked="f" coordsize="21600,21600">
            <v:path/>
            <v:fill on="f" focussize="0,0"/>
            <v:stroke on="f" joinstyle="miter"/>
            <v:imagedata r:id="rId56" o:title=""/>
            <o:lock v:ext="edit" aspectratio="t"/>
            <w10:wrap type="none"/>
            <w10:anchorlock/>
          </v:shape>
          <o:OLEObject Type="Embed" ProgID="Equation.DSMT4" ShapeID="_x0000_i1082" DrawAspect="Content" ObjectID="_1468075783" r:id="rId134">
            <o:LockedField>false</o:LockedField>
          </o:OLEObject>
        </w:object>
      </w:r>
      <w:bookmarkEnd w:id="248"/>
      <w:r>
        <w:rPr>
          <w:sz w:val="24"/>
        </w:rPr>
        <w:t xml:space="preserve"> </w:t>
      </w:r>
      <w:r>
        <w:rPr>
          <w:rFonts w:hint="eastAsia"/>
          <w:sz w:val="24"/>
        </w:rPr>
        <w:t xml:space="preserve">                          （</w:t>
      </w:r>
      <w:r>
        <w:rPr>
          <w:rFonts w:hint="eastAsia"/>
          <w:sz w:val="24"/>
          <w:szCs w:val="24"/>
        </w:rPr>
        <w:t>E.1</w:t>
      </w:r>
      <w:r>
        <w:rPr>
          <w:rFonts w:hint="eastAsia"/>
          <w:sz w:val="24"/>
        </w:rPr>
        <w:t>）</w:t>
      </w:r>
    </w:p>
    <w:p w14:paraId="6CA6A7F2">
      <w:pPr>
        <w:spacing w:line="360" w:lineRule="auto"/>
        <w:ind w:firstLine="480" w:firstLineChars="200"/>
        <w:rPr>
          <w:sz w:val="24"/>
          <w:szCs w:val="24"/>
        </w:rPr>
      </w:pPr>
      <w:r>
        <w:rPr>
          <w:rFonts w:hint="eastAsia"/>
          <w:sz w:val="24"/>
          <w:szCs w:val="24"/>
        </w:rPr>
        <w:t>式中：</w:t>
      </w:r>
    </w:p>
    <w:p w14:paraId="31B2459D">
      <w:pPr>
        <w:spacing w:line="360" w:lineRule="auto"/>
        <w:ind w:firstLine="480" w:firstLineChars="200"/>
        <w:rPr>
          <w:sz w:val="24"/>
          <w:szCs w:val="24"/>
        </w:rPr>
      </w:pPr>
      <w:bookmarkStart w:id="249" w:name="_Hlk207630455"/>
      <w:bookmarkStart w:id="250" w:name="_Hlk197439917"/>
      <w:r>
        <w:rPr>
          <w:i/>
          <w:iCs/>
          <w:position w:val="-6"/>
          <w:sz w:val="24"/>
        </w:rPr>
        <w:object>
          <v:shape id="_x0000_i1083" o:spt="75" type="#_x0000_t75" style="height:14.5pt;width:20.55pt;" o:ole="t" filled="f" o:preferrelative="t" stroked="f" coordsize="21600,21600">
            <v:path/>
            <v:fill on="f" focussize="0,0"/>
            <v:stroke on="f" joinstyle="miter"/>
            <v:imagedata r:id="rId58" o:title=""/>
            <o:lock v:ext="edit" aspectratio="t"/>
            <w10:wrap type="none"/>
            <w10:anchorlock/>
          </v:shape>
          <o:OLEObject Type="Embed" ProgID="Equation.DSMT4" ShapeID="_x0000_i1083" DrawAspect="Content" ObjectID="_1468075784" r:id="rId135">
            <o:LockedField>false</o:LockedField>
          </o:OLEObject>
        </w:object>
      </w:r>
      <w:r>
        <w:rPr>
          <w:sz w:val="24"/>
          <w:szCs w:val="24"/>
        </w:rPr>
        <w:t>——</w:t>
      </w:r>
      <w:r>
        <w:rPr>
          <w:rFonts w:hint="eastAsia"/>
          <w:sz w:val="24"/>
          <w:szCs w:val="24"/>
        </w:rPr>
        <w:t>称量示值误差</w:t>
      </w:r>
      <w:r>
        <w:rPr>
          <w:sz w:val="24"/>
          <w:szCs w:val="24"/>
        </w:rPr>
        <w:t>，</w:t>
      </w:r>
      <w:r>
        <w:rPr>
          <w:rFonts w:hint="eastAsia"/>
          <w:sz w:val="24"/>
          <w:szCs w:val="24"/>
        </w:rPr>
        <w:t>g</w:t>
      </w:r>
      <w:r>
        <w:rPr>
          <w:sz w:val="24"/>
          <w:szCs w:val="24"/>
        </w:rPr>
        <w:t>；</w:t>
      </w:r>
    </w:p>
    <w:p w14:paraId="1F255C26">
      <w:pPr>
        <w:spacing w:line="360" w:lineRule="auto"/>
        <w:ind w:firstLine="480" w:firstLineChars="200"/>
        <w:rPr>
          <w:sz w:val="24"/>
          <w:szCs w:val="24"/>
        </w:rPr>
      </w:pPr>
      <w:r>
        <w:rPr>
          <w:rFonts w:hint="eastAsia"/>
          <w:i/>
          <w:iCs/>
          <w:sz w:val="24"/>
        </w:rPr>
        <w:t>m</w:t>
      </w:r>
      <w:r>
        <w:rPr>
          <w:rFonts w:hint="eastAsia"/>
          <w:i/>
          <w:iCs/>
          <w:sz w:val="24"/>
          <w:vertAlign w:val="subscript"/>
        </w:rPr>
        <w:t>i</w:t>
      </w:r>
      <w:r>
        <w:rPr>
          <w:sz w:val="24"/>
          <w:szCs w:val="24"/>
        </w:rPr>
        <w:t>——</w:t>
      </w:r>
      <w:r>
        <w:rPr>
          <w:rFonts w:hint="eastAsia"/>
          <w:sz w:val="24"/>
          <w:szCs w:val="24"/>
        </w:rPr>
        <w:t>天平示值</w:t>
      </w:r>
      <w:r>
        <w:rPr>
          <w:sz w:val="24"/>
          <w:szCs w:val="24"/>
        </w:rPr>
        <w:t>，</w:t>
      </w:r>
      <w:r>
        <w:rPr>
          <w:rFonts w:hint="eastAsia"/>
          <w:sz w:val="24"/>
          <w:szCs w:val="24"/>
        </w:rPr>
        <w:t>g</w:t>
      </w:r>
      <w:r>
        <w:rPr>
          <w:sz w:val="24"/>
          <w:szCs w:val="24"/>
        </w:rPr>
        <w:t xml:space="preserve">； </w:t>
      </w:r>
    </w:p>
    <w:p w14:paraId="774CD58C">
      <w:pPr>
        <w:spacing w:line="360" w:lineRule="auto"/>
        <w:ind w:firstLine="480" w:firstLineChars="200"/>
        <w:rPr>
          <w:position w:val="-12"/>
          <w:sz w:val="24"/>
          <w:szCs w:val="24"/>
        </w:rPr>
      </w:pPr>
      <w:r>
        <w:rPr>
          <w:rFonts w:hint="eastAsia"/>
          <w:i/>
          <w:iCs/>
          <w:sz w:val="24"/>
          <w:szCs w:val="24"/>
        </w:rPr>
        <w:t>m</w:t>
      </w:r>
      <w:r>
        <w:rPr>
          <w:rFonts w:hint="eastAsia"/>
          <w:sz w:val="24"/>
          <w:szCs w:val="24"/>
          <w:vertAlign w:val="subscript"/>
        </w:rPr>
        <w:t>ref</w:t>
      </w:r>
      <w:r>
        <w:rPr>
          <w:sz w:val="24"/>
          <w:szCs w:val="24"/>
        </w:rPr>
        <w:t>——</w:t>
      </w:r>
      <w:r>
        <w:rPr>
          <w:rFonts w:hint="eastAsia"/>
          <w:sz w:val="24"/>
          <w:szCs w:val="24"/>
        </w:rPr>
        <w:t>试验载荷的参考质量，g。</w:t>
      </w:r>
    </w:p>
    <w:bookmarkEnd w:id="249"/>
    <w:p w14:paraId="577E3B6F">
      <w:pPr>
        <w:spacing w:line="360" w:lineRule="auto"/>
        <w:rPr>
          <w:rFonts w:eastAsia="黑体"/>
          <w:color w:val="000000"/>
          <w:sz w:val="24"/>
          <w:szCs w:val="24"/>
        </w:rPr>
      </w:pPr>
      <w:r>
        <w:rPr>
          <w:rFonts w:hint="eastAsia" w:eastAsia="黑体"/>
          <w:color w:val="000000"/>
          <w:sz w:val="24"/>
          <w:szCs w:val="24"/>
        </w:rPr>
        <w:t>E.3 不确定度传播律</w:t>
      </w:r>
    </w:p>
    <w:p w14:paraId="02B653D7">
      <w:pPr>
        <w:spacing w:line="360" w:lineRule="auto"/>
        <w:ind w:firstLine="480" w:firstLineChars="200"/>
        <w:rPr>
          <w:position w:val="-12"/>
          <w:sz w:val="24"/>
          <w:szCs w:val="24"/>
        </w:rPr>
      </w:pPr>
      <w:r>
        <w:rPr>
          <w:rFonts w:hint="eastAsia"/>
          <w:position w:val="-12"/>
          <w:sz w:val="24"/>
          <w:szCs w:val="24"/>
        </w:rPr>
        <w:t>测量量</w:t>
      </w:r>
      <w:bookmarkStart w:id="251" w:name="_Hlk207630475"/>
      <w:r>
        <w:rPr>
          <w:rFonts w:hint="eastAsia"/>
          <w:i/>
          <w:iCs/>
          <w:position w:val="-12"/>
          <w:sz w:val="24"/>
          <w:szCs w:val="24"/>
        </w:rPr>
        <w:t>m</w:t>
      </w:r>
      <w:r>
        <w:rPr>
          <w:rFonts w:hint="eastAsia"/>
          <w:i/>
          <w:iCs/>
          <w:position w:val="-12"/>
          <w:sz w:val="24"/>
          <w:szCs w:val="24"/>
          <w:vertAlign w:val="subscript"/>
        </w:rPr>
        <w:t>i</w:t>
      </w:r>
      <w:r>
        <w:rPr>
          <w:rFonts w:hint="eastAsia"/>
          <w:position w:val="-12"/>
          <w:sz w:val="24"/>
          <w:szCs w:val="24"/>
        </w:rPr>
        <w:t>与</w:t>
      </w:r>
      <w:r>
        <w:rPr>
          <w:rFonts w:hint="eastAsia"/>
          <w:i/>
          <w:iCs/>
          <w:position w:val="-12"/>
          <w:sz w:val="24"/>
          <w:szCs w:val="24"/>
        </w:rPr>
        <w:t>m</w:t>
      </w:r>
      <w:r>
        <w:rPr>
          <w:rFonts w:hint="eastAsia"/>
          <w:position w:val="-12"/>
          <w:sz w:val="24"/>
          <w:szCs w:val="24"/>
          <w:vertAlign w:val="subscript"/>
        </w:rPr>
        <w:t>ref</w:t>
      </w:r>
      <w:r>
        <w:rPr>
          <w:rFonts w:hint="eastAsia"/>
          <w:position w:val="-12"/>
          <w:sz w:val="24"/>
          <w:szCs w:val="24"/>
        </w:rPr>
        <w:t>彼</w:t>
      </w:r>
      <w:bookmarkEnd w:id="251"/>
      <w:r>
        <w:rPr>
          <w:rFonts w:hint="eastAsia"/>
          <w:position w:val="-12"/>
          <w:sz w:val="24"/>
          <w:szCs w:val="24"/>
        </w:rPr>
        <w:t>此不相关，则合成标准不确定度的计算公式为：</w:t>
      </w:r>
    </w:p>
    <w:p w14:paraId="722BF0DC">
      <w:pPr>
        <w:spacing w:line="360" w:lineRule="auto"/>
        <w:jc w:val="right"/>
        <w:rPr>
          <w:sz w:val="24"/>
        </w:rPr>
      </w:pPr>
      <w:bookmarkStart w:id="252" w:name="_Hlk207630487"/>
      <w:r>
        <w:rPr>
          <w:position w:val="-12"/>
          <w:sz w:val="24"/>
        </w:rPr>
        <w:object>
          <v:shape id="_x0000_i1084" o:spt="75" type="#_x0000_t75" style="height:20.5pt;width:161.2pt;" o:ole="t" filled="f" o:preferrelative="t" stroked="f" coordsize="21600,21600">
            <v:path/>
            <v:fill on="f" focussize="0,0"/>
            <v:stroke on="f" joinstyle="miter"/>
            <v:imagedata r:id="rId137" o:title=""/>
            <o:lock v:ext="edit" aspectratio="t"/>
            <w10:wrap type="none"/>
            <w10:anchorlock/>
          </v:shape>
          <o:OLEObject Type="Embed" ProgID="Equation.DSMT4" ShapeID="_x0000_i1084" DrawAspect="Content" ObjectID="_1468075785" r:id="rId136">
            <o:LockedField>false</o:LockedField>
          </o:OLEObject>
        </w:object>
      </w:r>
      <w:bookmarkEnd w:id="252"/>
      <w:r>
        <w:rPr>
          <w:rFonts w:hint="eastAsia"/>
          <w:sz w:val="24"/>
        </w:rPr>
        <w:t xml:space="preserve">                  （E.2）</w:t>
      </w:r>
    </w:p>
    <w:p w14:paraId="38B0C703">
      <w:pPr>
        <w:spacing w:line="360" w:lineRule="auto"/>
        <w:ind w:firstLine="480" w:firstLineChars="200"/>
        <w:rPr>
          <w:position w:val="-12"/>
          <w:sz w:val="24"/>
          <w:szCs w:val="24"/>
        </w:rPr>
      </w:pPr>
      <w:r>
        <w:rPr>
          <w:rFonts w:hint="eastAsia"/>
          <w:position w:val="-12"/>
          <w:sz w:val="24"/>
          <w:szCs w:val="24"/>
        </w:rPr>
        <w:t>灵敏系数为：</w:t>
      </w:r>
      <w:bookmarkStart w:id="253" w:name="OLE_LINK12"/>
      <w:r>
        <w:rPr>
          <w:rFonts w:hint="eastAsia" w:eastAsiaTheme="minorEastAsia"/>
          <w:position w:val="-30"/>
          <w:sz w:val="24"/>
          <w:szCs w:val="24"/>
        </w:rPr>
        <w:object>
          <v:shape id="_x0000_i1085" o:spt="75" type="#_x0000_t75" style="height:34pt;width:73pt;" o:ole="t" filled="f" o:preferrelative="t" stroked="f" coordsize="21600,21600">
            <v:path/>
            <v:fill on="f" focussize="0,0"/>
            <v:stroke on="f" joinstyle="miter"/>
            <v:imagedata r:id="rId139" o:title=""/>
            <o:lock v:ext="edit" aspectratio="t"/>
            <w10:wrap type="none"/>
            <w10:anchorlock/>
          </v:shape>
          <o:OLEObject Type="Embed" ProgID="Equation.DSMT4" ShapeID="_x0000_i1085" DrawAspect="Content" ObjectID="_1468075786" r:id="rId138">
            <o:LockedField>false</o:LockedField>
          </o:OLEObject>
        </w:object>
      </w:r>
      <w:bookmarkEnd w:id="253"/>
      <w:r>
        <w:rPr>
          <w:rFonts w:hint="eastAsia" w:eastAsiaTheme="minorEastAsia"/>
          <w:sz w:val="24"/>
          <w:szCs w:val="24"/>
        </w:rPr>
        <w:t xml:space="preserve">      </w:t>
      </w:r>
      <w:bookmarkStart w:id="254" w:name="_Hlk207630501"/>
      <w:r>
        <w:rPr>
          <w:rFonts w:hint="eastAsia" w:eastAsiaTheme="minorEastAsia"/>
          <w:position w:val="-30"/>
          <w:sz w:val="24"/>
          <w:szCs w:val="24"/>
        </w:rPr>
        <w:object>
          <v:shape id="_x0000_i1086" o:spt="75" type="#_x0000_t75" style="height:34pt;width:84pt;" o:ole="t" filled="f" o:preferrelative="t" stroked="f" coordsize="21600,21600">
            <v:path/>
            <v:fill on="f" focussize="0,0"/>
            <v:stroke on="f" joinstyle="miter"/>
            <v:imagedata r:id="rId141" o:title=""/>
            <o:lock v:ext="edit" aspectratio="t"/>
            <w10:wrap type="none"/>
            <w10:anchorlock/>
          </v:shape>
          <o:OLEObject Type="Embed" ProgID="Equation.DSMT4" ShapeID="_x0000_i1086" DrawAspect="Content" ObjectID="_1468075787" r:id="rId140">
            <o:LockedField>false</o:LockedField>
          </o:OLEObject>
        </w:object>
      </w:r>
      <w:bookmarkEnd w:id="254"/>
    </w:p>
    <w:bookmarkEnd w:id="250"/>
    <w:p w14:paraId="7518AA6B">
      <w:pPr>
        <w:spacing w:before="120" w:after="120" w:line="276" w:lineRule="auto"/>
        <w:rPr>
          <w:rFonts w:eastAsia="黑体"/>
          <w:color w:val="000000"/>
          <w:sz w:val="24"/>
          <w:szCs w:val="24"/>
        </w:rPr>
      </w:pPr>
      <w:r>
        <w:rPr>
          <w:rFonts w:hint="eastAsia" w:eastAsia="黑体"/>
          <w:color w:val="000000"/>
          <w:sz w:val="24"/>
          <w:szCs w:val="24"/>
        </w:rPr>
        <w:t>E</w:t>
      </w:r>
      <w:r>
        <w:rPr>
          <w:rFonts w:eastAsia="黑体"/>
          <w:color w:val="000000"/>
          <w:sz w:val="24"/>
          <w:szCs w:val="24"/>
        </w:rPr>
        <w:t>.</w:t>
      </w:r>
      <w:r>
        <w:rPr>
          <w:rFonts w:hint="eastAsia" w:eastAsia="黑体"/>
          <w:color w:val="000000"/>
          <w:sz w:val="24"/>
          <w:szCs w:val="24"/>
        </w:rPr>
        <w:t>4 标准不确定度评定</w:t>
      </w:r>
    </w:p>
    <w:p w14:paraId="6B2A2D89">
      <w:pPr>
        <w:adjustRightInd/>
        <w:spacing w:line="360" w:lineRule="auto"/>
        <w:rPr>
          <w:color w:val="000000"/>
          <w:sz w:val="24"/>
          <w:szCs w:val="24"/>
        </w:rPr>
      </w:pPr>
      <w:r>
        <w:rPr>
          <w:rFonts w:hint="eastAsia"/>
          <w:color w:val="000000"/>
          <w:sz w:val="24"/>
          <w:szCs w:val="24"/>
        </w:rPr>
        <w:t>E.4.1 示值的标准不确定度</w:t>
      </w:r>
      <w:bookmarkStart w:id="255" w:name="OLE_LINK34"/>
      <w:r>
        <w:rPr>
          <w:position w:val="-12"/>
          <w:sz w:val="24"/>
        </w:rPr>
        <w:object>
          <v:shape id="_x0000_i1087" o:spt="75" type="#_x0000_t75" style="height:20.5pt;width:33.5pt;" o:ole="t" filled="f" o:preferrelative="t" stroked="f" coordsize="21600,21600">
            <v:path/>
            <v:fill on="f" focussize="0,0"/>
            <v:stroke on="f" joinstyle="miter"/>
            <v:imagedata r:id="rId143" o:title=""/>
            <o:lock v:ext="edit" aspectratio="t"/>
            <w10:wrap type="none"/>
            <w10:anchorlock/>
          </v:shape>
          <o:OLEObject Type="Embed" ProgID="Equation.DSMT4" ShapeID="_x0000_i1087" DrawAspect="Content" ObjectID="_1468075788" r:id="rId142">
            <o:LockedField>false</o:LockedField>
          </o:OLEObject>
        </w:object>
      </w:r>
      <w:bookmarkEnd w:id="255"/>
    </w:p>
    <w:p w14:paraId="4094E0DB">
      <w:pPr>
        <w:adjustRightInd/>
        <w:spacing w:line="360" w:lineRule="auto"/>
        <w:rPr>
          <w:color w:val="000000"/>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1.1</w:t>
      </w:r>
      <w:r>
        <w:rPr>
          <w:color w:val="000000"/>
          <w:sz w:val="24"/>
          <w:szCs w:val="24"/>
        </w:rPr>
        <w:t xml:space="preserve"> </w:t>
      </w:r>
      <w:r>
        <w:rPr>
          <w:rFonts w:hint="eastAsia"/>
          <w:sz w:val="24"/>
          <w:szCs w:val="24"/>
        </w:rPr>
        <w:t>空载示值的化整误差</w:t>
      </w:r>
      <w:r>
        <w:rPr>
          <w:rFonts w:hint="eastAsia"/>
          <w:color w:val="000000"/>
          <w:sz w:val="24"/>
          <w:szCs w:val="24"/>
        </w:rPr>
        <w:t>引入的标准不确定度分量</w:t>
      </w:r>
      <w:r>
        <w:rPr>
          <w:rFonts w:hint="eastAsia"/>
          <w:i/>
          <w:iCs/>
          <w:color w:val="000000"/>
          <w:sz w:val="24"/>
          <w:szCs w:val="24"/>
        </w:rPr>
        <w:t>u</w:t>
      </w:r>
      <w:r>
        <w:rPr>
          <w:rFonts w:hint="eastAsia"/>
          <w:color w:val="000000"/>
          <w:sz w:val="24"/>
          <w:szCs w:val="24"/>
          <w:vertAlign w:val="subscript"/>
        </w:rPr>
        <w:t>1,1</w:t>
      </w:r>
    </w:p>
    <w:p w14:paraId="2BE1F1F1">
      <w:pPr>
        <w:adjustRightInd/>
        <w:spacing w:line="360" w:lineRule="auto"/>
        <w:ind w:firstLine="480" w:firstLineChars="200"/>
        <w:rPr>
          <w:color w:val="000000"/>
          <w:sz w:val="24"/>
          <w:szCs w:val="24"/>
        </w:rPr>
      </w:pPr>
      <w:r>
        <w:rPr>
          <w:rFonts w:hint="eastAsia"/>
          <w:sz w:val="24"/>
          <w:szCs w:val="24"/>
        </w:rPr>
        <w:t>空载示值的化整误差的区间半宽度为</w:t>
      </w:r>
      <w:r>
        <w:rPr>
          <w:rFonts w:hint="eastAsia"/>
          <w:i/>
          <w:iCs/>
          <w:sz w:val="24"/>
          <w:szCs w:val="24"/>
        </w:rPr>
        <w:t>d</w:t>
      </w:r>
      <w:r>
        <w:rPr>
          <w:rFonts w:hint="eastAsia"/>
          <w:sz w:val="24"/>
          <w:szCs w:val="24"/>
        </w:rPr>
        <w:t>/2</w:t>
      </w:r>
      <w:bookmarkStart w:id="256" w:name="_Hlk203661198"/>
      <w:r>
        <w:rPr>
          <w:rFonts w:hint="eastAsia"/>
          <w:sz w:val="24"/>
          <w:szCs w:val="24"/>
        </w:rPr>
        <w:t>，</w:t>
      </w:r>
      <w:bookmarkStart w:id="257" w:name="OLE_LINK11"/>
      <w:r>
        <w:rPr>
          <w:rFonts w:hint="eastAsia"/>
          <w:sz w:val="24"/>
          <w:szCs w:val="24"/>
        </w:rPr>
        <w:t>天平的实际分度值</w:t>
      </w:r>
      <w:r>
        <w:rPr>
          <w:rFonts w:hint="eastAsia"/>
          <w:i/>
          <w:iCs/>
          <w:sz w:val="24"/>
          <w:szCs w:val="24"/>
        </w:rPr>
        <w:t>d</w:t>
      </w:r>
      <w:r>
        <w:rPr>
          <w:rFonts w:hint="eastAsia"/>
          <w:sz w:val="24"/>
          <w:szCs w:val="24"/>
        </w:rPr>
        <w:t>为0.1 mg</w:t>
      </w:r>
      <w:bookmarkEnd w:id="257"/>
      <w:r>
        <w:rPr>
          <w:rFonts w:hint="eastAsia"/>
          <w:color w:val="000000"/>
          <w:sz w:val="24"/>
          <w:szCs w:val="24"/>
        </w:rPr>
        <w:t>，</w:t>
      </w:r>
      <w:bookmarkEnd w:id="256"/>
      <w:r>
        <w:rPr>
          <w:rFonts w:hint="eastAsia"/>
          <w:color w:val="000000"/>
          <w:sz w:val="24"/>
          <w:szCs w:val="24"/>
        </w:rPr>
        <w:t>服从均匀分布，其标准不确定为：</w:t>
      </w:r>
    </w:p>
    <w:p w14:paraId="5175B26C">
      <w:pPr>
        <w:adjustRightInd/>
        <w:spacing w:line="360" w:lineRule="auto"/>
        <w:jc w:val="center"/>
        <w:rPr>
          <w:color w:val="000000"/>
          <w:sz w:val="24"/>
          <w:szCs w:val="24"/>
        </w:rPr>
      </w:pPr>
      <w:r>
        <w:rPr>
          <w:color w:val="000000"/>
          <w:position w:val="-24"/>
          <w:sz w:val="24"/>
          <w:szCs w:val="24"/>
        </w:rPr>
        <w:object>
          <v:shape id="_x0000_i1088" o:spt="75" type="#_x0000_t75" style="height:38pt;width:166.5pt;" o:ole="t" filled="f" o:preferrelative="t" stroked="f" coordsize="21600,21600">
            <v:path/>
            <v:fill on="f" focussize="0,0"/>
            <v:stroke on="f" joinstyle="miter"/>
            <v:imagedata r:id="rId145" o:title=""/>
            <o:lock v:ext="edit" aspectratio="t"/>
            <w10:wrap type="none"/>
            <w10:anchorlock/>
          </v:shape>
          <o:OLEObject Type="Embed" ProgID="Equation.DSMT4" ShapeID="_x0000_i1088" DrawAspect="Content" ObjectID="_1468075789" r:id="rId144">
            <o:LockedField>false</o:LockedField>
          </o:OLEObject>
        </w:object>
      </w:r>
      <w:r>
        <w:rPr>
          <w:color w:val="000000"/>
          <w:sz w:val="24"/>
          <w:szCs w:val="24"/>
        </w:rPr>
        <w:t xml:space="preserve"> </w:t>
      </w:r>
    </w:p>
    <w:p w14:paraId="39704314">
      <w:pPr>
        <w:adjustRightInd/>
        <w:spacing w:line="360" w:lineRule="auto"/>
        <w:rPr>
          <w:color w:val="000000"/>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1.2</w:t>
      </w:r>
      <w:r>
        <w:rPr>
          <w:color w:val="000000"/>
          <w:sz w:val="24"/>
          <w:szCs w:val="24"/>
        </w:rPr>
        <w:t xml:space="preserve"> </w:t>
      </w:r>
      <w:r>
        <w:rPr>
          <w:rFonts w:hint="eastAsia"/>
          <w:sz w:val="24"/>
          <w:szCs w:val="24"/>
        </w:rPr>
        <w:t>加载示值的化整误差</w:t>
      </w:r>
      <w:r>
        <w:rPr>
          <w:rFonts w:hint="eastAsia"/>
          <w:color w:val="000000"/>
          <w:sz w:val="24"/>
          <w:szCs w:val="24"/>
        </w:rPr>
        <w:t>引入的标准不确定度分量</w:t>
      </w:r>
      <w:r>
        <w:rPr>
          <w:rFonts w:hint="eastAsia"/>
          <w:i/>
          <w:iCs/>
          <w:color w:val="000000"/>
          <w:sz w:val="24"/>
          <w:szCs w:val="24"/>
        </w:rPr>
        <w:t>u</w:t>
      </w:r>
      <w:r>
        <w:rPr>
          <w:rFonts w:hint="eastAsia"/>
          <w:color w:val="000000"/>
          <w:sz w:val="24"/>
          <w:szCs w:val="24"/>
          <w:vertAlign w:val="subscript"/>
        </w:rPr>
        <w:t>1,2</w:t>
      </w:r>
    </w:p>
    <w:p w14:paraId="564AC63F">
      <w:pPr>
        <w:adjustRightInd/>
        <w:spacing w:line="360" w:lineRule="auto"/>
        <w:ind w:firstLine="480" w:firstLineChars="200"/>
        <w:rPr>
          <w:color w:val="000000"/>
          <w:sz w:val="24"/>
          <w:szCs w:val="24"/>
        </w:rPr>
      </w:pPr>
      <w:r>
        <w:rPr>
          <w:rFonts w:hint="eastAsia"/>
          <w:sz w:val="24"/>
          <w:szCs w:val="24"/>
        </w:rPr>
        <w:t>加载示值的化整误差的区间半宽度为</w:t>
      </w:r>
      <w:r>
        <w:rPr>
          <w:rFonts w:hint="eastAsia"/>
          <w:i/>
          <w:iCs/>
          <w:sz w:val="24"/>
          <w:szCs w:val="24"/>
        </w:rPr>
        <w:t>d</w:t>
      </w:r>
      <w:r>
        <w:rPr>
          <w:rFonts w:hint="eastAsia"/>
          <w:sz w:val="24"/>
          <w:szCs w:val="24"/>
        </w:rPr>
        <w:t>/2，天平的实际分度值</w:t>
      </w:r>
      <w:r>
        <w:rPr>
          <w:rFonts w:hint="eastAsia"/>
          <w:i/>
          <w:iCs/>
          <w:sz w:val="24"/>
          <w:szCs w:val="24"/>
        </w:rPr>
        <w:t>d</w:t>
      </w:r>
      <w:r>
        <w:rPr>
          <w:rFonts w:hint="eastAsia"/>
          <w:sz w:val="24"/>
          <w:szCs w:val="24"/>
        </w:rPr>
        <w:t>为0.1mg，</w:t>
      </w:r>
      <w:r>
        <w:rPr>
          <w:rFonts w:hint="eastAsia"/>
          <w:color w:val="000000"/>
          <w:sz w:val="24"/>
          <w:szCs w:val="24"/>
        </w:rPr>
        <w:t>服从均匀分布，其标准不确定为：</w:t>
      </w:r>
    </w:p>
    <w:p w14:paraId="0DA450B5">
      <w:pPr>
        <w:adjustRightInd/>
        <w:spacing w:line="360" w:lineRule="auto"/>
        <w:jc w:val="center"/>
        <w:rPr>
          <w:color w:val="000000"/>
          <w:sz w:val="24"/>
          <w:szCs w:val="24"/>
        </w:rPr>
      </w:pPr>
      <w:r>
        <w:rPr>
          <w:color w:val="000000"/>
          <w:position w:val="-24"/>
          <w:sz w:val="24"/>
          <w:szCs w:val="24"/>
        </w:rPr>
        <w:object>
          <v:shape id="_x0000_i1089" o:spt="75" type="#_x0000_t75" style="height:38pt;width:168.05pt;" o:ole="t" filled="f" o:preferrelative="t" stroked="f" coordsize="21600,21600">
            <v:path/>
            <v:fill on="f" focussize="0,0"/>
            <v:stroke on="f" joinstyle="miter"/>
            <v:imagedata r:id="rId147" o:title=""/>
            <o:lock v:ext="edit" aspectratio="t"/>
            <w10:wrap type="none"/>
            <w10:anchorlock/>
          </v:shape>
          <o:OLEObject Type="Embed" ProgID="Equation.DSMT4" ShapeID="_x0000_i1089" DrawAspect="Content" ObjectID="_1468075790" r:id="rId146">
            <o:LockedField>false</o:LockedField>
          </o:OLEObject>
        </w:object>
      </w:r>
      <w:r>
        <w:rPr>
          <w:color w:val="000000"/>
          <w:sz w:val="24"/>
          <w:szCs w:val="24"/>
        </w:rPr>
        <w:t xml:space="preserve"> </w:t>
      </w:r>
    </w:p>
    <w:p w14:paraId="390FBD8A">
      <w:pPr>
        <w:adjustRightInd/>
        <w:spacing w:line="360" w:lineRule="auto"/>
        <w:rPr>
          <w:color w:val="000000"/>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1.3</w:t>
      </w:r>
      <w:r>
        <w:rPr>
          <w:color w:val="000000"/>
          <w:sz w:val="24"/>
          <w:szCs w:val="24"/>
        </w:rPr>
        <w:t xml:space="preserve"> </w:t>
      </w:r>
      <w:r>
        <w:rPr>
          <w:rFonts w:hint="eastAsia"/>
          <w:sz w:val="24"/>
          <w:szCs w:val="24"/>
        </w:rPr>
        <w:t>测量重复性</w:t>
      </w:r>
      <w:r>
        <w:rPr>
          <w:rFonts w:hint="eastAsia"/>
          <w:color w:val="000000"/>
          <w:sz w:val="24"/>
          <w:szCs w:val="24"/>
        </w:rPr>
        <w:t>引入的标准不确定度分量</w:t>
      </w:r>
      <w:bookmarkStart w:id="258" w:name="OLE_LINK27"/>
      <w:r>
        <w:rPr>
          <w:rFonts w:hint="eastAsia"/>
          <w:i/>
          <w:iCs/>
          <w:color w:val="000000"/>
          <w:sz w:val="24"/>
          <w:szCs w:val="24"/>
        </w:rPr>
        <w:t>u</w:t>
      </w:r>
      <w:r>
        <w:rPr>
          <w:rFonts w:hint="eastAsia"/>
          <w:color w:val="000000"/>
          <w:sz w:val="24"/>
          <w:szCs w:val="24"/>
          <w:vertAlign w:val="subscript"/>
        </w:rPr>
        <w:t>1,3</w:t>
      </w:r>
      <w:bookmarkEnd w:id="258"/>
    </w:p>
    <w:p w14:paraId="2A83063B">
      <w:pPr>
        <w:adjustRightInd/>
        <w:spacing w:line="360" w:lineRule="auto"/>
        <w:ind w:firstLine="480" w:firstLineChars="200"/>
        <w:rPr>
          <w:color w:val="000000"/>
          <w:sz w:val="24"/>
          <w:szCs w:val="24"/>
        </w:rPr>
      </w:pPr>
      <w:r>
        <w:rPr>
          <w:rFonts w:hint="eastAsia"/>
          <w:color w:val="000000"/>
          <w:sz w:val="24"/>
          <w:szCs w:val="24"/>
        </w:rPr>
        <w:t>用50 g标准砝码对天平重复测量10次，所得测量数据如下（g）：</w:t>
      </w:r>
      <w:bookmarkStart w:id="259" w:name="OLE_LINK26"/>
      <w:r>
        <w:rPr>
          <w:rFonts w:hint="eastAsia"/>
          <w:color w:val="000000"/>
          <w:sz w:val="24"/>
          <w:szCs w:val="24"/>
        </w:rPr>
        <w:t>50.0003、50.0002、50.0002、50.0003、50.0002、50.0003、50.0003、50.0000、50.0004、50.0003</w:t>
      </w:r>
      <w:bookmarkEnd w:id="259"/>
      <w:r>
        <w:rPr>
          <w:rFonts w:hint="eastAsia"/>
          <w:color w:val="000000"/>
          <w:sz w:val="24"/>
          <w:szCs w:val="24"/>
        </w:rPr>
        <w:t>。标准偏差</w:t>
      </w:r>
      <w:r>
        <w:rPr>
          <w:rFonts w:hint="eastAsia"/>
          <w:i/>
          <w:iCs/>
          <w:color w:val="000000"/>
          <w:sz w:val="24"/>
          <w:szCs w:val="24"/>
        </w:rPr>
        <w:t>s</w:t>
      </w:r>
      <w:r>
        <w:rPr>
          <w:rFonts w:hint="eastAsia"/>
          <w:color w:val="000000"/>
          <w:sz w:val="24"/>
          <w:szCs w:val="24"/>
        </w:rPr>
        <w:t>用式（E.3）计算：</w:t>
      </w:r>
    </w:p>
    <w:p w14:paraId="7F92C2A5">
      <w:pPr>
        <w:adjustRightInd/>
        <w:spacing w:line="360" w:lineRule="auto"/>
        <w:jc w:val="right"/>
        <w:rPr>
          <w:color w:val="000000"/>
          <w:sz w:val="24"/>
          <w:szCs w:val="24"/>
        </w:rPr>
      </w:pPr>
      <w:r>
        <w:rPr>
          <w:color w:val="000000"/>
          <w:position w:val="-22"/>
          <w:sz w:val="24"/>
          <w:szCs w:val="24"/>
        </w:rPr>
        <w:object>
          <v:shape id="_x0000_i1090" o:spt="75" type="#_x0000_t75" style="height:52pt;width:143.05pt;" o:ole="t" filled="f" o:preferrelative="t" stroked="f" coordsize="21600,21600">
            <v:path/>
            <v:fill on="f" focussize="0,0"/>
            <v:stroke on="f" joinstyle="miter"/>
            <v:imagedata r:id="rId149" o:title=""/>
            <o:lock v:ext="edit" aspectratio="t"/>
            <w10:wrap type="none"/>
            <w10:anchorlock/>
          </v:shape>
          <o:OLEObject Type="Embed" ProgID="Equation.DSMT4" ShapeID="_x0000_i1090" DrawAspect="Content" ObjectID="_1468075791" r:id="rId148">
            <o:LockedField>false</o:LockedField>
          </o:OLEObject>
        </w:object>
      </w:r>
      <w:r>
        <w:rPr>
          <w:rFonts w:hint="eastAsia"/>
          <w:color w:val="000000"/>
          <w:sz w:val="24"/>
          <w:szCs w:val="24"/>
        </w:rPr>
        <w:t>=0.11 mg                   （E.3）</w:t>
      </w:r>
    </w:p>
    <w:p w14:paraId="57E4A7E2">
      <w:pPr>
        <w:adjustRightInd/>
        <w:spacing w:line="360" w:lineRule="auto"/>
        <w:ind w:firstLine="480" w:firstLineChars="200"/>
        <w:rPr>
          <w:color w:val="000000"/>
          <w:sz w:val="24"/>
          <w:szCs w:val="24"/>
        </w:rPr>
      </w:pPr>
      <w:r>
        <w:rPr>
          <w:rFonts w:hint="eastAsia"/>
          <w:color w:val="000000"/>
          <w:sz w:val="24"/>
          <w:szCs w:val="24"/>
        </w:rPr>
        <w:t>则：</w:t>
      </w:r>
      <w:r>
        <w:rPr>
          <w:rFonts w:hint="eastAsia"/>
          <w:i/>
          <w:iCs/>
          <w:color w:val="000000"/>
          <w:sz w:val="24"/>
          <w:szCs w:val="24"/>
        </w:rPr>
        <w:t>u</w:t>
      </w:r>
      <w:r>
        <w:rPr>
          <w:rFonts w:hint="eastAsia"/>
          <w:color w:val="000000"/>
          <w:sz w:val="24"/>
          <w:szCs w:val="24"/>
          <w:vertAlign w:val="subscript"/>
        </w:rPr>
        <w:t>1,3</w:t>
      </w:r>
      <w:r>
        <w:rPr>
          <w:rFonts w:hint="eastAsia"/>
          <w:color w:val="000000"/>
          <w:sz w:val="24"/>
          <w:szCs w:val="24"/>
        </w:rPr>
        <w:t>=0.11 mg</w:t>
      </w:r>
    </w:p>
    <w:p w14:paraId="6AC971F6">
      <w:pPr>
        <w:adjustRightInd/>
        <w:spacing w:line="360" w:lineRule="auto"/>
        <w:rPr>
          <w:color w:val="000000"/>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1.4</w:t>
      </w:r>
      <w:r>
        <w:rPr>
          <w:color w:val="000000"/>
          <w:sz w:val="24"/>
          <w:szCs w:val="24"/>
        </w:rPr>
        <w:t xml:space="preserve"> </w:t>
      </w:r>
      <w:r>
        <w:rPr>
          <w:rFonts w:hint="eastAsia"/>
          <w:sz w:val="24"/>
          <w:szCs w:val="24"/>
        </w:rPr>
        <w:t>示值的标准不确定度</w:t>
      </w:r>
    </w:p>
    <w:p w14:paraId="0C80A562">
      <w:pPr>
        <w:adjustRightInd/>
        <w:spacing w:line="360" w:lineRule="auto"/>
        <w:ind w:right="119" w:firstLine="480" w:firstLineChars="200"/>
        <w:rPr>
          <w:color w:val="000000"/>
          <w:sz w:val="24"/>
          <w:szCs w:val="24"/>
        </w:rPr>
      </w:pPr>
      <w:bookmarkStart w:id="260" w:name="OLE_LINK28"/>
      <w:r>
        <w:rPr>
          <w:rFonts w:hint="eastAsia"/>
          <w:color w:val="000000"/>
          <w:sz w:val="24"/>
          <w:szCs w:val="24"/>
        </w:rPr>
        <w:t>示值的标准不确定度通过以下公式获得：</w:t>
      </w:r>
    </w:p>
    <w:p w14:paraId="61F10B6A">
      <w:pPr>
        <w:adjustRightInd/>
        <w:spacing w:line="360" w:lineRule="auto"/>
        <w:ind w:right="119" w:firstLine="480" w:firstLineChars="200"/>
        <w:rPr>
          <w:color w:val="000000"/>
          <w:sz w:val="24"/>
          <w:szCs w:val="24"/>
        </w:rPr>
      </w:pPr>
      <w:bookmarkStart w:id="261" w:name="OLE_LINK37"/>
      <w:r>
        <w:rPr>
          <w:color w:val="000000"/>
          <w:position w:val="-32"/>
          <w:sz w:val="24"/>
          <w:szCs w:val="24"/>
        </w:rPr>
        <w:object>
          <v:shape id="_x0000_i1091" o:spt="75" type="#_x0000_t75" style="height:45.5pt;width:316.55pt;" o:ole="t" filled="f" o:preferrelative="t" stroked="f" coordsize="21600,21600">
            <v:path/>
            <v:fill on="f" focussize="0,0"/>
            <v:stroke on="f" joinstyle="miter"/>
            <v:imagedata r:id="rId151" o:title=""/>
            <o:lock v:ext="edit" aspectratio="t"/>
            <w10:wrap type="none"/>
            <w10:anchorlock/>
          </v:shape>
          <o:OLEObject Type="Embed" ProgID="Equation.DSMT4" ShapeID="_x0000_i1091" DrawAspect="Content" ObjectID="_1468075792" r:id="rId150">
            <o:LockedField>false</o:LockedField>
          </o:OLEObject>
        </w:object>
      </w:r>
      <w:bookmarkEnd w:id="260"/>
      <w:bookmarkEnd w:id="261"/>
      <w:r>
        <w:rPr>
          <w:color w:val="000000"/>
          <w:sz w:val="24"/>
          <w:szCs w:val="24"/>
        </w:rPr>
        <w:t xml:space="preserve"> </w:t>
      </w:r>
    </w:p>
    <w:p w14:paraId="7E7E9CD8">
      <w:pPr>
        <w:adjustRightInd/>
        <w:spacing w:line="360" w:lineRule="auto"/>
        <w:rPr>
          <w:rFonts w:eastAsiaTheme="minorEastAsia"/>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 xml:space="preserve">2 </w:t>
      </w:r>
      <w:r>
        <w:rPr>
          <w:rFonts w:hint="eastAsia" w:eastAsiaTheme="minorEastAsia"/>
          <w:color w:val="000000"/>
          <w:sz w:val="24"/>
          <w:szCs w:val="24"/>
        </w:rPr>
        <w:t>参考质量的标准不确定度</w:t>
      </w:r>
      <w:r>
        <w:rPr>
          <w:position w:val="-12"/>
          <w:sz w:val="24"/>
        </w:rPr>
        <w:object>
          <v:shape id="_x0000_i1092" o:spt="75" type="#_x0000_t75" style="height:20.5pt;width:39.5pt;" o:ole="t" filled="f" o:preferrelative="t" stroked="f" coordsize="21600,21600">
            <v:path/>
            <v:fill on="f" focussize="0,0"/>
            <v:stroke on="f" joinstyle="miter"/>
            <v:imagedata r:id="rId153" o:title=""/>
            <o:lock v:ext="edit" aspectratio="t"/>
            <w10:wrap type="none"/>
            <w10:anchorlock/>
          </v:shape>
          <o:OLEObject Type="Embed" ProgID="Equation.DSMT4" ShapeID="_x0000_i1092" DrawAspect="Content" ObjectID="_1468075793" r:id="rId152">
            <o:LockedField>false</o:LockedField>
          </o:OLEObject>
        </w:object>
      </w:r>
    </w:p>
    <w:p w14:paraId="754C9A82">
      <w:pPr>
        <w:adjustRightInd/>
        <w:spacing w:line="360" w:lineRule="auto"/>
        <w:rPr>
          <w:rFonts w:eastAsiaTheme="minorEastAsia"/>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 xml:space="preserve">2.1 </w:t>
      </w:r>
      <w:r>
        <w:rPr>
          <w:rFonts w:hint="eastAsia" w:eastAsiaTheme="minorEastAsia"/>
          <w:color w:val="000000"/>
          <w:sz w:val="24"/>
          <w:szCs w:val="24"/>
        </w:rPr>
        <w:t>标准砝码的标准不确定度分量</w:t>
      </w:r>
      <w:r>
        <w:rPr>
          <w:rFonts w:hint="eastAsia" w:eastAsiaTheme="minorEastAsia"/>
          <w:i/>
          <w:iCs/>
          <w:color w:val="000000"/>
          <w:sz w:val="24"/>
          <w:szCs w:val="24"/>
        </w:rPr>
        <w:t>u</w:t>
      </w:r>
      <w:r>
        <w:rPr>
          <w:rFonts w:hint="eastAsia" w:eastAsiaTheme="minorEastAsia"/>
          <w:color w:val="000000"/>
          <w:sz w:val="24"/>
          <w:szCs w:val="24"/>
          <w:vertAlign w:val="subscript"/>
        </w:rPr>
        <w:t>2,1</w:t>
      </w:r>
    </w:p>
    <w:p w14:paraId="16D061E5">
      <w:pPr>
        <w:adjustRightInd/>
        <w:spacing w:line="360" w:lineRule="auto"/>
        <w:ind w:firstLine="480" w:firstLineChars="200"/>
        <w:rPr>
          <w:sz w:val="24"/>
        </w:rPr>
      </w:pPr>
      <w:r>
        <w:rPr>
          <w:sz w:val="24"/>
        </w:rPr>
        <w:t>由标准器证书查得</w:t>
      </w:r>
      <w:r>
        <w:rPr>
          <w:rFonts w:hint="eastAsia"/>
          <w:sz w:val="24"/>
        </w:rPr>
        <w:t>，F1级标准砝码载荷50 g的扩展不确定度</w:t>
      </w:r>
      <w:r>
        <w:rPr>
          <w:rFonts w:hint="eastAsia"/>
          <w:i/>
          <w:iCs/>
          <w:sz w:val="24"/>
        </w:rPr>
        <w:t>U</w:t>
      </w:r>
      <w:r>
        <w:rPr>
          <w:rFonts w:hint="eastAsia"/>
          <w:sz w:val="24"/>
        </w:rPr>
        <w:t>=0.10 mg，</w:t>
      </w:r>
      <w:r>
        <w:rPr>
          <w:rFonts w:hint="eastAsia"/>
          <w:i/>
          <w:iCs/>
          <w:sz w:val="24"/>
        </w:rPr>
        <w:t>k</w:t>
      </w:r>
      <w:r>
        <w:rPr>
          <w:rFonts w:hint="eastAsia"/>
          <w:sz w:val="24"/>
        </w:rPr>
        <w:t>=2，则标准器的标准不确定度为：</w:t>
      </w:r>
    </w:p>
    <w:p w14:paraId="53483A9F">
      <w:pPr>
        <w:adjustRightInd/>
        <w:spacing w:line="360" w:lineRule="auto"/>
        <w:jc w:val="center"/>
        <w:rPr>
          <w:sz w:val="24"/>
        </w:rPr>
      </w:pPr>
      <w:r>
        <w:rPr>
          <w:position w:val="-20"/>
          <w:sz w:val="24"/>
        </w:rPr>
        <w:object>
          <v:shape id="_x0000_i1093" o:spt="75" type="#_x0000_t75" style="height:33pt;width:114.95pt;" o:ole="t" filled="f" o:preferrelative="t" stroked="f" coordsize="21600,21600">
            <v:path/>
            <v:fill on="f" focussize="0,0"/>
            <v:stroke on="f" joinstyle="miter"/>
            <v:imagedata r:id="rId155" o:title=""/>
            <o:lock v:ext="edit" aspectratio="t"/>
            <w10:wrap type="none"/>
            <w10:anchorlock/>
          </v:shape>
          <o:OLEObject Type="Embed" ProgID="Equation.DSMT4" ShapeID="_x0000_i1093" DrawAspect="Content" ObjectID="_1468075794" r:id="rId154">
            <o:LockedField>false</o:LockedField>
          </o:OLEObject>
        </w:object>
      </w:r>
      <w:r>
        <w:rPr>
          <w:sz w:val="24"/>
        </w:rPr>
        <w:t xml:space="preserve"> </w:t>
      </w:r>
    </w:p>
    <w:p w14:paraId="14FDDAF4">
      <w:pPr>
        <w:adjustRightInd/>
        <w:spacing w:line="360" w:lineRule="auto"/>
        <w:rPr>
          <w:rFonts w:eastAsiaTheme="minorEastAsia"/>
          <w:sz w:val="24"/>
          <w:szCs w:val="24"/>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 xml:space="preserve">2.2 </w:t>
      </w:r>
      <w:r>
        <w:rPr>
          <w:rFonts w:hint="eastAsia"/>
          <w:sz w:val="24"/>
          <w:szCs w:val="24"/>
        </w:rPr>
        <w:t>砝码不稳定性引入的标准不确定度分量</w:t>
      </w:r>
      <w:r>
        <w:rPr>
          <w:rFonts w:hint="eastAsia" w:eastAsiaTheme="minorEastAsia"/>
          <w:i/>
          <w:iCs/>
          <w:color w:val="000000"/>
          <w:sz w:val="24"/>
          <w:szCs w:val="24"/>
        </w:rPr>
        <w:t>u</w:t>
      </w:r>
      <w:r>
        <w:rPr>
          <w:rFonts w:hint="eastAsia" w:eastAsiaTheme="minorEastAsia"/>
          <w:color w:val="000000"/>
          <w:sz w:val="24"/>
          <w:szCs w:val="24"/>
          <w:vertAlign w:val="subscript"/>
        </w:rPr>
        <w:t>2,2</w:t>
      </w:r>
    </w:p>
    <w:p w14:paraId="5DB2DDC8">
      <w:pPr>
        <w:adjustRightInd/>
        <w:spacing w:line="360" w:lineRule="auto"/>
        <w:ind w:firstLine="480" w:firstLineChars="200"/>
        <w:rPr>
          <w:color w:val="000000"/>
          <w:sz w:val="24"/>
          <w:szCs w:val="24"/>
        </w:rPr>
      </w:pPr>
      <w:r>
        <w:rPr>
          <w:rFonts w:hint="eastAsia"/>
          <w:color w:val="000000"/>
          <w:sz w:val="24"/>
          <w:szCs w:val="24"/>
        </w:rPr>
        <w:t>砝码的不稳定性根据JJG 99选择最大允许误差0.3 mg的三分之一，服从均匀分布，其标准不确定度为：</w:t>
      </w:r>
    </w:p>
    <w:p w14:paraId="3A6D08BC">
      <w:pPr>
        <w:adjustRightInd/>
        <w:spacing w:line="360" w:lineRule="auto"/>
        <w:jc w:val="center"/>
        <w:rPr>
          <w:color w:val="000000"/>
          <w:sz w:val="24"/>
          <w:szCs w:val="24"/>
        </w:rPr>
      </w:pPr>
      <w:r>
        <w:rPr>
          <w:color w:val="000000"/>
          <w:position w:val="-24"/>
          <w:sz w:val="24"/>
          <w:szCs w:val="24"/>
        </w:rPr>
        <w:object>
          <v:shape id="_x0000_i1094" o:spt="75" type="#_x0000_t75" style="height:36pt;width:164.55pt;" o:ole="t" filled="f" o:preferrelative="t" stroked="f" coordsize="21600,21600">
            <v:path/>
            <v:fill on="f" focussize="0,0"/>
            <v:stroke on="f" joinstyle="miter"/>
            <v:imagedata r:id="rId157" o:title=""/>
            <o:lock v:ext="edit" aspectratio="t"/>
            <w10:wrap type="none"/>
            <w10:anchorlock/>
          </v:shape>
          <o:OLEObject Type="Embed" ProgID="Equation.DSMT4" ShapeID="_x0000_i1094" DrawAspect="Content" ObjectID="_1468075795" r:id="rId156">
            <o:LockedField>false</o:LockedField>
          </o:OLEObject>
        </w:object>
      </w:r>
    </w:p>
    <w:p w14:paraId="67DF9248">
      <w:pPr>
        <w:adjustRightInd/>
        <w:spacing w:line="360" w:lineRule="auto"/>
        <w:rPr>
          <w:rFonts w:eastAsiaTheme="minorEastAsia"/>
          <w:color w:val="000000"/>
          <w:sz w:val="24"/>
          <w:szCs w:val="24"/>
          <w:vertAlign w:val="subscript"/>
        </w:rPr>
      </w:pPr>
      <w:r>
        <w:rPr>
          <w:rFonts w:hint="eastAsia"/>
          <w:color w:val="000000"/>
          <w:sz w:val="24"/>
          <w:szCs w:val="24"/>
        </w:rPr>
        <w:t>E</w:t>
      </w: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 xml:space="preserve">2.3 </w:t>
      </w:r>
      <w:r>
        <w:rPr>
          <w:rFonts w:hint="eastAsia"/>
          <w:sz w:val="24"/>
          <w:szCs w:val="24"/>
        </w:rPr>
        <w:t>参考质量的标准不确定度</w:t>
      </w:r>
    </w:p>
    <w:p w14:paraId="6B16E4B6">
      <w:pPr>
        <w:adjustRightInd/>
        <w:spacing w:line="360" w:lineRule="auto"/>
        <w:ind w:right="119" w:firstLine="480" w:firstLineChars="200"/>
        <w:rPr>
          <w:color w:val="000000"/>
          <w:sz w:val="24"/>
          <w:szCs w:val="24"/>
        </w:rPr>
      </w:pPr>
      <w:r>
        <w:rPr>
          <w:rFonts w:hint="eastAsia"/>
          <w:color w:val="000000"/>
          <w:sz w:val="24"/>
          <w:szCs w:val="24"/>
        </w:rPr>
        <w:t>参考质量的标准不确定度通过以下公式获得：</w:t>
      </w:r>
    </w:p>
    <w:p w14:paraId="01C85A3D">
      <w:pPr>
        <w:adjustRightInd/>
        <w:spacing w:line="360" w:lineRule="auto"/>
        <w:ind w:firstLine="480" w:firstLineChars="200"/>
        <w:jc w:val="center"/>
        <w:rPr>
          <w:rFonts w:eastAsiaTheme="minorEastAsia"/>
          <w:sz w:val="24"/>
          <w:szCs w:val="24"/>
        </w:rPr>
      </w:pPr>
      <w:r>
        <w:rPr>
          <w:color w:val="000000"/>
          <w:position w:val="-32"/>
          <w:sz w:val="24"/>
          <w:szCs w:val="24"/>
        </w:rPr>
        <w:object>
          <v:shape id="_x0000_i1095" o:spt="75" type="#_x0000_t75" style="height:45.5pt;width:249.5pt;" o:ole="t" filled="f" o:preferrelative="t" stroked="f" coordsize="21600,21600">
            <v:path/>
            <v:fill on="f" focussize="0,0"/>
            <v:stroke on="f" joinstyle="miter"/>
            <v:imagedata r:id="rId159" o:title=""/>
            <o:lock v:ext="edit" aspectratio="t"/>
            <w10:wrap type="none"/>
            <w10:anchorlock/>
          </v:shape>
          <o:OLEObject Type="Embed" ProgID="Equation.DSMT4" ShapeID="_x0000_i1095" DrawAspect="Content" ObjectID="_1468075796" r:id="rId158">
            <o:LockedField>false</o:LockedField>
          </o:OLEObject>
        </w:object>
      </w:r>
    </w:p>
    <w:p w14:paraId="7E3A989E">
      <w:pPr>
        <w:spacing w:line="360" w:lineRule="auto"/>
        <w:rPr>
          <w:rFonts w:eastAsia="黑体"/>
          <w:color w:val="000000"/>
          <w:sz w:val="24"/>
          <w:szCs w:val="24"/>
        </w:rPr>
      </w:pPr>
      <w:r>
        <w:rPr>
          <w:rFonts w:hint="eastAsia"/>
          <w:color w:val="000000"/>
          <w:sz w:val="24"/>
          <w:szCs w:val="24"/>
        </w:rPr>
        <w:t>E</w:t>
      </w:r>
      <w:r>
        <w:rPr>
          <w:color w:val="000000"/>
          <w:sz w:val="24"/>
          <w:szCs w:val="24"/>
        </w:rPr>
        <w:t>.</w:t>
      </w:r>
      <w:r>
        <w:rPr>
          <w:rFonts w:hint="eastAsia"/>
          <w:color w:val="000000"/>
          <w:sz w:val="24"/>
          <w:szCs w:val="24"/>
        </w:rPr>
        <w:t xml:space="preserve">5 </w:t>
      </w:r>
      <w:r>
        <w:rPr>
          <w:rFonts w:eastAsia="黑体"/>
          <w:color w:val="000000"/>
          <w:sz w:val="24"/>
          <w:szCs w:val="24"/>
        </w:rPr>
        <w:t>合成</w:t>
      </w:r>
      <w:r>
        <w:rPr>
          <w:rFonts w:hint="eastAsia" w:eastAsia="黑体"/>
          <w:color w:val="000000"/>
          <w:sz w:val="24"/>
          <w:szCs w:val="24"/>
        </w:rPr>
        <w:t>标准不确定度</w:t>
      </w:r>
    </w:p>
    <w:p w14:paraId="28FDEA07">
      <w:pPr>
        <w:spacing w:line="360" w:lineRule="auto"/>
        <w:ind w:firstLine="480" w:firstLineChars="200"/>
        <w:rPr>
          <w:rFonts w:eastAsiaTheme="minorEastAsia"/>
          <w:color w:val="000000"/>
          <w:sz w:val="24"/>
          <w:szCs w:val="24"/>
        </w:rPr>
      </w:pPr>
      <w:r>
        <w:rPr>
          <w:rFonts w:hint="eastAsia" w:eastAsiaTheme="minorEastAsia"/>
          <w:color w:val="000000"/>
          <w:sz w:val="24"/>
          <w:szCs w:val="24"/>
        </w:rPr>
        <w:t>合成标准不确定度</w:t>
      </w:r>
      <w:bookmarkStart w:id="262" w:name="_Hlk207630563"/>
      <w:r>
        <w:rPr>
          <w:position w:val="-12"/>
          <w:sz w:val="24"/>
        </w:rPr>
        <w:object>
          <v:shape id="_x0000_i1096" o:spt="75" type="#_x0000_t75" style="height:20.5pt;width:42.5pt;" o:ole="t" filled="f" o:preferrelative="t" stroked="f" coordsize="21600,21600">
            <v:path/>
            <v:fill on="f" focussize="0,0"/>
            <v:stroke on="f" joinstyle="miter"/>
            <v:imagedata r:id="rId161" o:title=""/>
            <o:lock v:ext="edit" aspectratio="t"/>
            <w10:wrap type="none"/>
            <w10:anchorlock/>
          </v:shape>
          <o:OLEObject Type="Embed" ProgID="Equation.DSMT4" ShapeID="_x0000_i1096" DrawAspect="Content" ObjectID="_1468075797" r:id="rId160">
            <o:LockedField>false</o:LockedField>
          </o:OLEObject>
        </w:object>
      </w:r>
      <w:bookmarkEnd w:id="262"/>
      <w:r>
        <w:rPr>
          <w:rFonts w:eastAsiaTheme="minorEastAsia"/>
          <w:color w:val="000000"/>
          <w:sz w:val="24"/>
          <w:szCs w:val="24"/>
        </w:rPr>
        <w:t>按式（</w:t>
      </w:r>
      <w:r>
        <w:rPr>
          <w:rFonts w:hint="eastAsia" w:eastAsiaTheme="minorEastAsia"/>
          <w:color w:val="000000"/>
          <w:sz w:val="24"/>
          <w:szCs w:val="24"/>
        </w:rPr>
        <w:t>E</w:t>
      </w:r>
      <w:r>
        <w:rPr>
          <w:rFonts w:eastAsiaTheme="minorEastAsia"/>
          <w:color w:val="000000"/>
          <w:sz w:val="24"/>
          <w:szCs w:val="24"/>
        </w:rPr>
        <w:t>.</w:t>
      </w:r>
      <w:r>
        <w:rPr>
          <w:rFonts w:hint="eastAsia" w:eastAsiaTheme="minorEastAsia"/>
          <w:color w:val="000000"/>
          <w:sz w:val="24"/>
          <w:szCs w:val="24"/>
        </w:rPr>
        <w:t>2</w:t>
      </w:r>
      <w:r>
        <w:rPr>
          <w:rFonts w:eastAsiaTheme="minorEastAsia"/>
          <w:color w:val="000000"/>
          <w:sz w:val="24"/>
          <w:szCs w:val="24"/>
        </w:rPr>
        <w:t>）计算：</w:t>
      </w:r>
    </w:p>
    <w:p w14:paraId="7DF9388A">
      <w:pPr>
        <w:spacing w:line="360" w:lineRule="auto"/>
        <w:ind w:firstLine="435"/>
        <w:jc w:val="center"/>
        <w:rPr>
          <w:sz w:val="24"/>
        </w:rPr>
      </w:pPr>
      <w:bookmarkStart w:id="263" w:name="_Hlk207630570"/>
      <w:r>
        <w:rPr>
          <w:position w:val="-36"/>
          <w:sz w:val="24"/>
        </w:rPr>
        <w:object>
          <v:shape id="_x0000_i1097" o:spt="75" type="#_x0000_t75" style="height:49pt;width:243pt;" o:ole="t" filled="f" o:preferrelative="t" stroked="f" coordsize="21600,21600">
            <v:path/>
            <v:fill on="f" focussize="0,0"/>
            <v:stroke on="f" joinstyle="miter"/>
            <v:imagedata r:id="rId163" o:title=""/>
            <o:lock v:ext="edit" aspectratio="t"/>
            <w10:wrap type="none"/>
            <w10:anchorlock/>
          </v:shape>
          <o:OLEObject Type="Embed" ProgID="Equation.DSMT4" ShapeID="_x0000_i1097" DrawAspect="Content" ObjectID="_1468075798" r:id="rId162">
            <o:LockedField>false</o:LockedField>
          </o:OLEObject>
        </w:object>
      </w:r>
      <w:bookmarkEnd w:id="263"/>
    </w:p>
    <w:p w14:paraId="35464481">
      <w:pPr>
        <w:pStyle w:val="21"/>
        <w:tabs>
          <w:tab w:val="left" w:pos="425"/>
        </w:tabs>
        <w:spacing w:before="120" w:after="120" w:line="360" w:lineRule="auto"/>
        <w:ind w:left="0" w:right="221" w:firstLine="0"/>
        <w:rPr>
          <w:color w:val="000000"/>
          <w:sz w:val="24"/>
          <w:szCs w:val="24"/>
        </w:rPr>
      </w:pPr>
      <w:r>
        <w:rPr>
          <w:rFonts w:hint="eastAsia" w:eastAsia="黑体"/>
          <w:color w:val="000000"/>
          <w:sz w:val="24"/>
          <w:szCs w:val="24"/>
        </w:rPr>
        <w:t>E</w:t>
      </w:r>
      <w:r>
        <w:rPr>
          <w:rFonts w:eastAsia="黑体"/>
          <w:color w:val="000000"/>
          <w:sz w:val="24"/>
          <w:szCs w:val="24"/>
        </w:rPr>
        <w:t>.</w:t>
      </w:r>
      <w:r>
        <w:rPr>
          <w:rFonts w:hint="eastAsia" w:eastAsia="黑体"/>
          <w:color w:val="000000"/>
          <w:sz w:val="24"/>
          <w:szCs w:val="24"/>
        </w:rPr>
        <w:t xml:space="preserve">6 </w:t>
      </w:r>
      <w:r>
        <w:rPr>
          <w:rFonts w:eastAsia="黑体"/>
          <w:color w:val="000000"/>
          <w:sz w:val="24"/>
          <w:szCs w:val="24"/>
        </w:rPr>
        <w:t>扩展不确定度</w:t>
      </w:r>
    </w:p>
    <w:p w14:paraId="63BEE9E5">
      <w:pPr>
        <w:pStyle w:val="21"/>
        <w:tabs>
          <w:tab w:val="left" w:pos="425"/>
        </w:tabs>
        <w:adjustRightInd w:val="0"/>
        <w:spacing w:before="120" w:after="120" w:line="360" w:lineRule="auto"/>
        <w:ind w:left="0" w:right="221" w:firstLine="480" w:firstLineChars="200"/>
        <w:rPr>
          <w:color w:val="000000"/>
          <w:sz w:val="24"/>
          <w:szCs w:val="24"/>
        </w:rPr>
      </w:pPr>
      <w:r>
        <w:rPr>
          <w:color w:val="000000"/>
          <w:sz w:val="24"/>
          <w:szCs w:val="24"/>
        </w:rPr>
        <w:t>取</w:t>
      </w:r>
      <w:r>
        <w:rPr>
          <w:rFonts w:hint="eastAsia"/>
          <w:color w:val="000000"/>
          <w:sz w:val="24"/>
          <w:szCs w:val="24"/>
        </w:rPr>
        <w:t>包含</w:t>
      </w:r>
      <w:r>
        <w:rPr>
          <w:color w:val="000000"/>
          <w:sz w:val="24"/>
          <w:szCs w:val="24"/>
        </w:rPr>
        <w:t>因子</w:t>
      </w:r>
      <w:r>
        <w:rPr>
          <w:i/>
          <w:color w:val="000000"/>
          <w:sz w:val="24"/>
          <w:szCs w:val="24"/>
        </w:rPr>
        <w:t>k</w:t>
      </w:r>
      <w:r>
        <w:rPr>
          <w:color w:val="000000"/>
          <w:sz w:val="24"/>
          <w:szCs w:val="24"/>
        </w:rPr>
        <w:t>=2，</w:t>
      </w:r>
      <w:r>
        <w:rPr>
          <w:rFonts w:hint="eastAsia"/>
          <w:color w:val="000000"/>
          <w:sz w:val="24"/>
          <w:szCs w:val="24"/>
        </w:rPr>
        <w:t>则载荷50 g的</w:t>
      </w:r>
      <w:r>
        <w:rPr>
          <w:rFonts w:hint="eastAsia"/>
          <w:sz w:val="24"/>
          <w:szCs w:val="24"/>
        </w:rPr>
        <w:t>称量示值误差校准结果的扩展不确定度为：</w:t>
      </w:r>
    </w:p>
    <w:p w14:paraId="2E1FD8A6">
      <w:pPr>
        <w:pStyle w:val="21"/>
        <w:tabs>
          <w:tab w:val="left" w:pos="425"/>
        </w:tabs>
        <w:adjustRightInd w:val="0"/>
        <w:spacing w:before="120" w:after="120" w:line="360" w:lineRule="auto"/>
        <w:ind w:left="0" w:right="221" w:firstLine="480" w:firstLineChars="200"/>
        <w:jc w:val="center"/>
        <w:rPr>
          <w:rFonts w:hAnsi="Cambria Math"/>
          <w:sz w:val="24"/>
          <w:szCs w:val="24"/>
        </w:rPr>
      </w:pPr>
      <w:bookmarkStart w:id="264" w:name="_Hlk207630580"/>
      <w:r>
        <w:rPr>
          <w:rFonts w:hAnsi="Cambria Math"/>
          <w:i/>
          <w:iCs/>
          <w:position w:val="-12"/>
          <w:sz w:val="24"/>
          <w:szCs w:val="24"/>
        </w:rPr>
        <w:object>
          <v:shape id="_x0000_i1098" o:spt="75" type="#_x0000_t75" style="height:22pt;width:184.75pt;" o:ole="t" filled="f" o:preferrelative="t" stroked="f" coordsize="21600,21600">
            <v:path/>
            <v:fill on="f" focussize="0,0"/>
            <v:stroke on="f" joinstyle="miter"/>
            <v:imagedata r:id="rId165" o:title=""/>
            <o:lock v:ext="edit" aspectratio="t"/>
            <w10:wrap type="none"/>
            <w10:anchorlock/>
          </v:shape>
          <o:OLEObject Type="Embed" ProgID="Equation.DSMT4" ShapeID="_x0000_i1098" DrawAspect="Content" ObjectID="_1468075799" r:id="rId164">
            <o:LockedField>false</o:LockedField>
          </o:OLEObject>
        </w:object>
      </w:r>
      <w:bookmarkEnd w:id="245"/>
      <w:bookmarkEnd w:id="264"/>
      <w:r>
        <w:rPr>
          <w:rFonts w:hAnsi="Cambria Math"/>
          <w:i/>
          <w:iCs/>
          <w:sz w:val="24"/>
          <w:szCs w:val="24"/>
        </w:rPr>
        <w:t xml:space="preserve"> </w:t>
      </w:r>
    </w:p>
    <w:bookmarkEnd w:id="214"/>
    <w:p w14:paraId="644A5415">
      <w:pPr>
        <w:pStyle w:val="21"/>
        <w:tabs>
          <w:tab w:val="left" w:pos="425"/>
        </w:tabs>
        <w:adjustRightInd w:val="0"/>
        <w:spacing w:before="120" w:after="120" w:line="300" w:lineRule="auto"/>
        <w:ind w:left="0" w:right="221" w:firstLine="480" w:firstLineChars="200"/>
        <w:jc w:val="center"/>
        <w:rPr>
          <w:sz w:val="24"/>
          <w:szCs w:val="24"/>
        </w:rPr>
      </w:pPr>
    </w:p>
    <w:p w14:paraId="1288A02B">
      <w:pPr>
        <w:pStyle w:val="21"/>
        <w:tabs>
          <w:tab w:val="left" w:pos="425"/>
        </w:tabs>
        <w:adjustRightInd w:val="0"/>
        <w:spacing w:before="120" w:after="120" w:line="300" w:lineRule="auto"/>
        <w:ind w:left="0" w:right="221" w:firstLine="480" w:firstLineChars="200"/>
        <w:jc w:val="center"/>
        <w:rPr>
          <w:sz w:val="24"/>
          <w:szCs w:val="24"/>
        </w:rPr>
      </w:pPr>
    </w:p>
    <w:p w14:paraId="4028B3CC">
      <w:pPr>
        <w:pStyle w:val="21"/>
        <w:tabs>
          <w:tab w:val="left" w:pos="425"/>
        </w:tabs>
        <w:adjustRightInd w:val="0"/>
        <w:spacing w:before="120" w:after="120" w:line="300" w:lineRule="auto"/>
        <w:ind w:left="0" w:right="221" w:firstLine="480" w:firstLineChars="200"/>
        <w:jc w:val="center"/>
        <w:rPr>
          <w:sz w:val="24"/>
          <w:szCs w:val="24"/>
        </w:rPr>
      </w:pPr>
    </w:p>
    <w:p w14:paraId="74867F89">
      <w:pPr>
        <w:pStyle w:val="21"/>
        <w:tabs>
          <w:tab w:val="left" w:pos="425"/>
        </w:tabs>
        <w:adjustRightInd w:val="0"/>
        <w:spacing w:before="120" w:after="120" w:line="300" w:lineRule="auto"/>
        <w:ind w:left="0" w:right="221" w:firstLine="0"/>
        <w:rPr>
          <w:sz w:val="24"/>
          <w:szCs w:val="24"/>
        </w:rPr>
      </w:pPr>
    </w:p>
    <w:p w14:paraId="66D79038">
      <w:pPr>
        <w:pStyle w:val="21"/>
        <w:tabs>
          <w:tab w:val="left" w:pos="425"/>
        </w:tabs>
        <w:adjustRightInd w:val="0"/>
        <w:spacing w:before="120" w:after="120" w:line="300" w:lineRule="auto"/>
        <w:ind w:left="0" w:right="221" w:firstLine="480" w:firstLineChars="200"/>
        <w:jc w:val="left"/>
        <w:rPr>
          <w:color w:val="000000"/>
          <w:sz w:val="24"/>
          <w:szCs w:val="24"/>
          <w:u w:val="single"/>
        </w:rPr>
      </w:pPr>
      <w:r>
        <w:rPr>
          <w:sz w:val="24"/>
          <w:szCs w:val="24"/>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color w:val="000000"/>
          <w:sz w:val="24"/>
          <w:szCs w:val="24"/>
          <w:u w:val="single"/>
        </w:rPr>
        <w:t xml:space="preserve">  </w:t>
      </w:r>
    </w:p>
    <w:p w14:paraId="76C4B272">
      <w:pPr>
        <w:pStyle w:val="21"/>
        <w:tabs>
          <w:tab w:val="left" w:pos="425"/>
        </w:tabs>
        <w:adjustRightInd w:val="0"/>
        <w:spacing w:before="120" w:after="120" w:line="360" w:lineRule="auto"/>
        <w:ind w:left="0" w:right="221" w:firstLine="480" w:firstLineChars="200"/>
        <w:rPr>
          <w:rFonts w:hAnsi="Cambria Math"/>
          <w:sz w:val="24"/>
          <w:szCs w:val="24"/>
        </w:rPr>
      </w:pPr>
    </w:p>
    <w:p w14:paraId="4A054929">
      <w:pPr>
        <w:rPr>
          <w:color w:val="000000"/>
          <w:sz w:val="24"/>
        </w:rPr>
        <w:sectPr>
          <w:footnotePr>
            <w:numFmt w:val="decimalEnclosedCircleChinese"/>
          </w:footnotePr>
          <w:pgSz w:w="11906" w:h="16838"/>
          <w:pgMar w:top="1871" w:right="1418" w:bottom="1418" w:left="1418" w:header="1418" w:footer="1077" w:gutter="0"/>
          <w:cols w:space="720" w:num="1"/>
          <w:docGrid w:linePitch="286" w:charSpace="0"/>
        </w:sectPr>
      </w:pPr>
    </w:p>
    <w:bookmarkEnd w:id="3"/>
    <w:bookmarkEnd w:id="163"/>
    <w:p w14:paraId="4FF873D3">
      <w:pPr>
        <w:adjustRightInd/>
        <w:spacing w:line="324" w:lineRule="auto"/>
        <w:jc w:val="both"/>
        <w:rPr>
          <w:color w:val="000000"/>
        </w:rPr>
      </w:pPr>
      <w:bookmarkStart w:id="274" w:name="_GoBack"/>
      <w:bookmarkEnd w:id="274"/>
      <w:bookmarkStart w:id="265" w:name="_Toc357516994"/>
      <w:bookmarkEnd w:id="265"/>
      <w:bookmarkStart w:id="266" w:name="_Toc357504978"/>
      <w:bookmarkEnd w:id="266"/>
      <w:bookmarkStart w:id="267" w:name="_Toc457983171"/>
      <w:bookmarkEnd w:id="267"/>
      <w:bookmarkStart w:id="268" w:name="_Toc288818278"/>
      <w:bookmarkEnd w:id="268"/>
      <w:bookmarkStart w:id="269" w:name="_Toc461026477"/>
      <w:bookmarkEnd w:id="269"/>
      <w:bookmarkStart w:id="270" w:name="_Toc288818399"/>
      <w:bookmarkEnd w:id="270"/>
      <w:bookmarkStart w:id="271" w:name="_Toc29940"/>
      <w:bookmarkEnd w:id="271"/>
      <w:bookmarkStart w:id="272" w:name="_Toc4841"/>
      <w:bookmarkEnd w:id="272"/>
      <w:bookmarkStart w:id="273" w:name="_Toc462838187"/>
      <w:bookmarkEnd w:id="273"/>
    </w:p>
    <w:sectPr>
      <w:headerReference r:id="rId18" w:type="default"/>
      <w:footerReference r:id="rId19" w:type="default"/>
      <w:pgSz w:w="11906" w:h="16838"/>
      <w:pgMar w:top="1871" w:right="1134" w:bottom="1417" w:left="1417" w:header="1417" w:footer="1077" w:gutter="0"/>
      <w:pgNumType w:start="1"/>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2F82">
    <w:pPr>
      <w:pStyle w:val="172"/>
      <w:ind w:right="360" w:firstLine="360"/>
      <w:rPr>
        <w:rStyle w:val="4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12831">
    <w:pPr>
      <w:pStyle w:val="26"/>
      <w:framePr w:wrap="around" w:vAnchor="text" w:hAnchor="margin" w:xAlign="outside" w:y="1"/>
      <w:rPr>
        <w:rStyle w:val="46"/>
      </w:rPr>
    </w:pPr>
    <w:r>
      <w:fldChar w:fldCharType="begin"/>
    </w:r>
    <w:r>
      <w:rPr>
        <w:rStyle w:val="46"/>
      </w:rPr>
      <w:instrText xml:space="preserve">PAGE  </w:instrText>
    </w:r>
    <w:r>
      <w:fldChar w:fldCharType="separate"/>
    </w:r>
    <w:r>
      <w:rPr>
        <w:rStyle w:val="46"/>
      </w:rPr>
      <w:t>2</w:t>
    </w:r>
    <w:r>
      <w:fldChar w:fldCharType="end"/>
    </w:r>
  </w:p>
  <w:p w14:paraId="667FA5DB">
    <w:pPr>
      <w:pStyle w:val="2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F5851">
    <w:pPr>
      <w:pStyle w:val="172"/>
      <w:ind w:right="360" w:firstLine="360"/>
      <w:rPr>
        <w:rStyle w:val="4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43A23">
    <w:pPr>
      <w:pStyle w:val="26"/>
      <w:framePr w:wrap="around" w:vAnchor="text" w:hAnchor="margin" w:xAlign="outside" w:y="1"/>
      <w:rPr>
        <w:rStyle w:val="46"/>
      </w:rPr>
    </w:pPr>
    <w:r>
      <w:fldChar w:fldCharType="begin"/>
    </w:r>
    <w:r>
      <w:rPr>
        <w:rStyle w:val="46"/>
      </w:rPr>
      <w:instrText xml:space="preserve">PAGE  </w:instrText>
    </w:r>
    <w:r>
      <w:fldChar w:fldCharType="separate"/>
    </w:r>
    <w:r>
      <w:rPr>
        <w:rStyle w:val="46"/>
      </w:rPr>
      <w:t>2</w:t>
    </w:r>
    <w:r>
      <w:fldChar w:fldCharType="end"/>
    </w:r>
  </w:p>
  <w:p w14:paraId="55B7539D">
    <w:pPr>
      <w:pStyle w:val="26"/>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2F6EC">
    <w:pPr>
      <w:pStyle w:val="26"/>
      <w:spacing w:after="72"/>
      <w:jc w:val="center"/>
      <w:rPr>
        <w:rStyle w:val="46"/>
        <w:sz w:val="21"/>
        <w:szCs w:val="21"/>
      </w:rP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lang w:val="zh-CN"/>
      </w:rPr>
      <w:t>II</w:t>
    </w:r>
    <w:r>
      <w:rPr>
        <w:rFonts w:ascii="Times New Roman"/>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CF2C7">
    <w:pPr>
      <w:pStyle w:val="26"/>
      <w:spacing w:after="72"/>
      <w:ind w:left="678" w:right="-105"/>
      <w:jc w:val="center"/>
      <w:rPr>
        <w:rStyle w:val="46"/>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12</w:t>
    </w:r>
    <w:r>
      <w:rPr>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776F7">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AD9F2">
    <w:pPr>
      <w:pStyle w:val="133"/>
      <w:rPr>
        <w:rFonts w:hint="eastAsia"/>
      </w:rPr>
    </w:pPr>
    <w:r>
      <w:t>GJB</w:t>
    </w:r>
    <w:r>
      <w:rPr>
        <w:rFonts w:hint="eastAsia"/>
      </w:rPr>
      <w:t>/J</w:t>
    </w: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87C16">
    <w:pPr>
      <w:pStyle w:val="156"/>
      <w:tabs>
        <w:tab w:val="clear" w:pos="4154"/>
        <w:tab w:val="clear" w:pos="8306"/>
      </w:tabs>
      <w:rPr>
        <w:rFonts w:hint="eastAsia"/>
      </w:rPr>
    </w:pPr>
    <w:r>
      <w:t>GJB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2205B">
    <w:pPr>
      <w:pStyle w:val="133"/>
      <w:rPr>
        <w:rFonts w:hint="eastAsia"/>
      </w:rPr>
    </w:pPr>
    <w:r>
      <w:t>GJB</w:t>
    </w:r>
    <w:r>
      <w:rPr>
        <w:rFonts w:hint="eastAsia"/>
      </w:rPr>
      <w:t>/J</w:t>
    </w:r>
    <w: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DC02C">
    <w:pPr>
      <w:pStyle w:val="156"/>
      <w:tabs>
        <w:tab w:val="clear" w:pos="4154"/>
        <w:tab w:val="clear" w:pos="8306"/>
      </w:tabs>
      <w:rPr>
        <w:rFonts w:hint="eastAsia"/>
      </w:rPr>
    </w:pPr>
    <w:r>
      <w:t>GJB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C44DB">
    <w:pPr>
      <w:pStyle w:val="27"/>
      <w:pBdr>
        <w:bottom w:val="single" w:color="auto" w:sz="4" w:space="1"/>
      </w:pBdr>
      <w:spacing w:line="288" w:lineRule="auto"/>
    </w:pPr>
    <w:r>
      <w:rPr>
        <w:rStyle w:val="58"/>
        <w:rFonts w:eastAsia="宋体"/>
      </w:rPr>
      <mc:AlternateContent>
        <mc:Choice Requires="wps">
          <w:drawing>
            <wp:anchor distT="0" distB="0" distL="114300" distR="114300" simplePos="0" relativeHeight="251659264" behindDoc="0" locked="1" layoutInCell="1" allowOverlap="0">
              <wp:simplePos x="0" y="0"/>
              <wp:positionH relativeFrom="page">
                <wp:align>center</wp:align>
              </wp:positionH>
              <wp:positionV relativeFrom="page">
                <wp:posOffset>756285</wp:posOffset>
              </wp:positionV>
              <wp:extent cx="2258060" cy="288290"/>
              <wp:effectExtent l="0" t="0" r="0" b="0"/>
              <wp:wrapNone/>
              <wp:docPr id="15"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2258060" cy="288290"/>
                      </a:xfrm>
                      <a:prstGeom prst="rect">
                        <a:avLst/>
                      </a:prstGeom>
                      <a:noFill/>
                      <a:ln>
                        <a:noFill/>
                      </a:ln>
                      <a:effectLst/>
                    </wps:spPr>
                    <wps:txbx>
                      <w:txbxContent>
                        <w:p w14:paraId="77B00B62">
                          <w:pPr>
                            <w:jc w:val="center"/>
                          </w:pPr>
                          <w:r>
                            <w:rPr>
                              <w:rStyle w:val="58"/>
                              <w:rFonts w:hint="eastAsia" w:eastAsia="宋体"/>
                            </w:rPr>
                            <w:t>JJF</w:t>
                          </w:r>
                          <w:r>
                            <w:rPr>
                              <w:rStyle w:val="58"/>
                              <w:rFonts w:hint="eastAsia" w:ascii="黑体" w:eastAsia="黑体"/>
                              <w:b w:val="0"/>
                            </w:rPr>
                            <w:t>（</w:t>
                          </w:r>
                          <w:r>
                            <w:rPr>
                              <w:rStyle w:val="58"/>
                              <w:rFonts w:hint="eastAsia" w:ascii="黑体" w:hAnsi="华文中宋" w:eastAsia="黑体"/>
                              <w:b w:val="0"/>
                            </w:rPr>
                            <w:t>军工</w:t>
                          </w:r>
                          <w:r>
                            <w:rPr>
                              <w:rStyle w:val="58"/>
                              <w:rFonts w:hint="eastAsia" w:ascii="黑体" w:eastAsia="黑体"/>
                              <w:b w:val="0"/>
                            </w:rPr>
                            <w:t>）</w:t>
                          </w:r>
                          <w:r>
                            <w:rPr>
                              <w:rStyle w:val="58"/>
                              <w:rFonts w:hint="eastAsia" w:eastAsia="宋体"/>
                            </w:rPr>
                            <w:t>××××</w:t>
                          </w:r>
                          <w:r>
                            <w:rPr>
                              <w:rStyle w:val="58"/>
                              <w:rFonts w:ascii="宋体" w:hAnsi="宋体" w:eastAsia="宋体"/>
                            </w:rPr>
                            <w:t>—</w:t>
                          </w:r>
                          <w:r>
                            <w:rPr>
                              <w:rStyle w:val="58"/>
                              <w:rFonts w:hint="eastAsia" w:eastAsia="宋体"/>
                            </w:rPr>
                            <w:t>××××</w:t>
                          </w:r>
                        </w:p>
                      </w:txbxContent>
                    </wps:txbx>
                    <wps:bodyPr rot="0" vert="horz" wrap="square" lIns="91440" tIns="45720" rIns="91440" bIns="45720" anchor="ctr" anchorCtr="0" upright="1">
                      <a:noAutofit/>
                    </wps:bodyPr>
                  </wps:wsp>
                </a:graphicData>
              </a:graphic>
            </wp:anchor>
          </w:drawing>
        </mc:Choice>
        <mc:Fallback>
          <w:pict>
            <v:shape id="Text Box 1025" o:spid="_x0000_s1026" o:spt="202" type="#_x0000_t202" style="position:absolute;left:0pt;margin-top:59.55pt;height:22.7pt;width:177.8pt;mso-position-horizontal:center;mso-position-horizontal-relative:page;mso-position-vertical-relative:page;z-index:251659264;v-text-anchor:middle;mso-width-relative:page;mso-height-relative:page;" filled="f" stroked="f" coordsize="21600,21600" o:allowoverlap="f" o:gfxdata="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KbnZrXAAAACAEAAA8AAAAAAAAAAQAg&#10;AAAAIgAAAGRycy9kb3ducmV2LnhtbFBLAQIUABQAAAAIAIdO4kAlC/DMDwIAACgEAAAOAAAAAAAA&#10;AAEAIAAAACYBAABkcnMvZTJvRG9jLnhtbFBLBQYAAAAABgAGAFkBAACnBQAAAAA=&#10;">
              <v:fill on="f" focussize="0,0"/>
              <v:stroke on="f"/>
              <v:imagedata o:title=""/>
              <o:lock v:ext="edit" aspectratio="f"/>
              <v:textbox>
                <w:txbxContent>
                  <w:p w14:paraId="77B00B62">
                    <w:pPr>
                      <w:jc w:val="center"/>
                    </w:pPr>
                    <w:r>
                      <w:rPr>
                        <w:rStyle w:val="58"/>
                        <w:rFonts w:hint="eastAsia" w:eastAsia="宋体"/>
                      </w:rPr>
                      <w:t>JJF</w:t>
                    </w:r>
                    <w:r>
                      <w:rPr>
                        <w:rStyle w:val="58"/>
                        <w:rFonts w:hint="eastAsia" w:ascii="黑体" w:eastAsia="黑体"/>
                        <w:b w:val="0"/>
                      </w:rPr>
                      <w:t>（</w:t>
                    </w:r>
                    <w:r>
                      <w:rPr>
                        <w:rStyle w:val="58"/>
                        <w:rFonts w:hint="eastAsia" w:ascii="黑体" w:hAnsi="华文中宋" w:eastAsia="黑体"/>
                        <w:b w:val="0"/>
                      </w:rPr>
                      <w:t>军工</w:t>
                    </w:r>
                    <w:r>
                      <w:rPr>
                        <w:rStyle w:val="58"/>
                        <w:rFonts w:hint="eastAsia" w:ascii="黑体" w:eastAsia="黑体"/>
                        <w:b w:val="0"/>
                      </w:rPr>
                      <w:t>）</w:t>
                    </w:r>
                    <w:r>
                      <w:rPr>
                        <w:rStyle w:val="58"/>
                        <w:rFonts w:hint="eastAsia" w:eastAsia="宋体"/>
                      </w:rPr>
                      <w:t>××××</w:t>
                    </w:r>
                    <w:r>
                      <w:rPr>
                        <w:rStyle w:val="58"/>
                        <w:rFonts w:ascii="宋体" w:hAnsi="宋体" w:eastAsia="宋体"/>
                      </w:rPr>
                      <w:t>—</w:t>
                    </w:r>
                    <w:r>
                      <w:rPr>
                        <w:rStyle w:val="58"/>
                        <w:rFonts w:hint="eastAsia" w:eastAsia="宋体"/>
                      </w:rPr>
                      <w:t>××××</w:t>
                    </w:r>
                  </w:p>
                </w:txbxContent>
              </v:textbox>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031F5">
    <w:pPr>
      <w:pStyle w:val="27"/>
      <w:pBdr>
        <w:bottom w:val="single" w:color="auto" w:sz="4" w:space="1"/>
      </w:pBdr>
      <w:spacing w:line="288" w:lineRule="auto"/>
    </w:pPr>
    <w:r>
      <mc:AlternateContent>
        <mc:Choice Requires="wps">
          <w:drawing>
            <wp:anchor distT="0" distB="0" distL="114300" distR="114300" simplePos="0" relativeHeight="251660288" behindDoc="0" locked="1" layoutInCell="1" allowOverlap="0">
              <wp:simplePos x="0" y="0"/>
              <wp:positionH relativeFrom="page">
                <wp:align>center</wp:align>
              </wp:positionH>
              <wp:positionV relativeFrom="page">
                <wp:posOffset>756285</wp:posOffset>
              </wp:positionV>
              <wp:extent cx="2249805" cy="288290"/>
              <wp:effectExtent l="0" t="0" r="0" b="0"/>
              <wp:wrapNone/>
              <wp:docPr id="17" name="Text Box 1026"/>
              <wp:cNvGraphicFramePr/>
              <a:graphic xmlns:a="http://schemas.openxmlformats.org/drawingml/2006/main">
                <a:graphicData uri="http://schemas.microsoft.com/office/word/2010/wordprocessingShape">
                  <wps:wsp>
                    <wps:cNvSpPr txBox="1">
                      <a:spLocks noChangeArrowheads="1"/>
                    </wps:cNvSpPr>
                    <wps:spPr bwMode="auto">
                      <a:xfrm>
                        <a:off x="0" y="0"/>
                        <a:ext cx="2249805" cy="288290"/>
                      </a:xfrm>
                      <a:prstGeom prst="rect">
                        <a:avLst/>
                      </a:prstGeom>
                      <a:noFill/>
                      <a:ln>
                        <a:noFill/>
                      </a:ln>
                      <a:effectLst/>
                    </wps:spPr>
                    <wps:txbx>
                      <w:txbxContent>
                        <w:p w14:paraId="334A4C17">
                          <w:pPr>
                            <w:jc w:val="center"/>
                            <w:rPr>
                              <w:rFonts w:hint="eastAsia" w:ascii="黑体" w:hAnsi="黑体" w:eastAsia="黑体"/>
                            </w:rPr>
                          </w:pPr>
                          <w:r>
                            <w:rPr>
                              <w:rStyle w:val="58"/>
                              <w:rFonts w:hint="eastAsia" w:ascii="黑体" w:hAnsi="黑体" w:eastAsia="黑体"/>
                              <w:b w:val="0"/>
                            </w:rPr>
                            <w:t>JJF XXXX</w:t>
                          </w:r>
                          <w:r>
                            <w:rPr>
                              <w:rStyle w:val="58"/>
                              <w:rFonts w:ascii="黑体" w:hAnsi="黑体" w:eastAsia="黑体"/>
                              <w:b w:val="0"/>
                            </w:rPr>
                            <w:t>—</w:t>
                          </w:r>
                          <w:r>
                            <w:rPr>
                              <w:rStyle w:val="58"/>
                              <w:rFonts w:hint="eastAsia" w:ascii="黑体" w:hAnsi="黑体" w:eastAsia="黑体"/>
                              <w:b w:val="0"/>
                            </w:rPr>
                            <w:t>XXXX</w:t>
                          </w:r>
                        </w:p>
                      </w:txbxContent>
                    </wps:txbx>
                    <wps:bodyPr rot="0" vert="horz" wrap="square" lIns="91440" tIns="45720" rIns="91440" bIns="45720" anchor="ctr" anchorCtr="0" upright="1">
                      <a:noAutofit/>
                    </wps:bodyPr>
                  </wps:wsp>
                </a:graphicData>
              </a:graphic>
            </wp:anchor>
          </w:drawing>
        </mc:Choice>
        <mc:Fallback>
          <w:pict>
            <v:shape id="Text Box 1026" o:spid="_x0000_s1026" o:spt="202" type="#_x0000_t202" style="position:absolute;left:0pt;margin-top:59.55pt;height:22.7pt;width:177.15pt;mso-position-horizontal:center;mso-position-horizontal-relative:page;mso-position-vertical-relative:page;z-index:251660288;v-text-anchor:middle;mso-width-relative:page;mso-height-relative:page;" filled="f" stroked="f" coordsize="21600,21600" o:allowoverlap="f" o:gfxdata="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vS/j+1wAAAAgBAAAPAAAAAAAAAAEA&#10;IAAAACIAAABkcnMvZG93bnJldi54bWxQSwECFAAUAAAACACHTuJAVW4ZpBACAAAoBAAADgAAAAAA&#10;AAABACAAAAAmAQAAZHJzL2Uyb0RvYy54bWxQSwUGAAAAAAYABgBZAQAAqAUAAAAA&#10;">
              <v:fill on="f" focussize="0,0"/>
              <v:stroke on="f"/>
              <v:imagedata o:title=""/>
              <o:lock v:ext="edit" aspectratio="f"/>
              <v:textbox>
                <w:txbxContent>
                  <w:p w14:paraId="334A4C17">
                    <w:pPr>
                      <w:jc w:val="center"/>
                      <w:rPr>
                        <w:rFonts w:hint="eastAsia" w:ascii="黑体" w:hAnsi="黑体" w:eastAsia="黑体"/>
                      </w:rPr>
                    </w:pPr>
                    <w:r>
                      <w:rPr>
                        <w:rStyle w:val="58"/>
                        <w:rFonts w:hint="eastAsia" w:ascii="黑体" w:hAnsi="黑体" w:eastAsia="黑体"/>
                        <w:b w:val="0"/>
                      </w:rPr>
                      <w:t>JJF XXXX</w:t>
                    </w:r>
                    <w:r>
                      <w:rPr>
                        <w:rStyle w:val="58"/>
                        <w:rFonts w:ascii="黑体" w:hAnsi="黑体" w:eastAsia="黑体"/>
                        <w:b w:val="0"/>
                      </w:rPr>
                      <w:t>—</w:t>
                    </w:r>
                    <w:r>
                      <w:rPr>
                        <w:rStyle w:val="58"/>
                        <w:rFonts w:hint="eastAsia" w:ascii="黑体" w:hAnsi="黑体" w:eastAsia="黑体"/>
                        <w:b w:val="0"/>
                      </w:rPr>
                      <w:t>XXXX</w:t>
                    </w:r>
                  </w:p>
                </w:txbxContent>
              </v:textbox>
              <w10:anchorlock/>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B4B0B">
    <w:pPr>
      <w:pStyle w:val="27"/>
      <w:pBdr>
        <w:bottom w:val="single" w:color="auto" w:sz="4" w:space="1"/>
      </w:pBdr>
      <w:spacing w:line="288" w:lineRule="auto"/>
    </w:pPr>
    <w:r>
      <mc:AlternateContent>
        <mc:Choice Requires="wps">
          <w:drawing>
            <wp:anchor distT="0" distB="0" distL="114300" distR="114300" simplePos="0" relativeHeight="251661312" behindDoc="0" locked="1" layoutInCell="1" allowOverlap="0">
              <wp:simplePos x="0" y="0"/>
              <wp:positionH relativeFrom="page">
                <wp:align>center</wp:align>
              </wp:positionH>
              <wp:positionV relativeFrom="page">
                <wp:posOffset>756285</wp:posOffset>
              </wp:positionV>
              <wp:extent cx="2276475" cy="288290"/>
              <wp:effectExtent l="0" t="0" r="0" b="0"/>
              <wp:wrapNone/>
              <wp:docPr id="19"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2276475" cy="288290"/>
                      </a:xfrm>
                      <a:prstGeom prst="rect">
                        <a:avLst/>
                      </a:prstGeom>
                      <a:noFill/>
                      <a:ln>
                        <a:noFill/>
                      </a:ln>
                      <a:effectLst/>
                    </wps:spPr>
                    <wps:txbx>
                      <w:txbxContent>
                        <w:p w14:paraId="2AD424B7">
                          <w:pPr>
                            <w:jc w:val="center"/>
                            <w:rPr>
                              <w:rFonts w:hint="eastAsia" w:ascii="黑体" w:hAnsi="黑体" w:eastAsia="黑体"/>
                              <w:szCs w:val="21"/>
                            </w:rPr>
                          </w:pPr>
                          <w:r>
                            <w:rPr>
                              <w:rStyle w:val="58"/>
                              <w:rFonts w:ascii="黑体" w:hAnsi="黑体" w:eastAsia="黑体"/>
                              <w:b w:val="0"/>
                              <w:szCs w:val="21"/>
                            </w:rPr>
                            <w:t xml:space="preserve">JJF </w:t>
                          </w:r>
                          <w:r>
                            <w:rPr>
                              <w:rStyle w:val="58"/>
                              <w:rFonts w:hint="eastAsia" w:ascii="黑体" w:hAnsi="黑体" w:eastAsia="黑体"/>
                              <w:b w:val="0"/>
                              <w:szCs w:val="21"/>
                            </w:rPr>
                            <w:t>XXXX</w:t>
                          </w:r>
                          <w:r>
                            <w:rPr>
                              <w:rStyle w:val="58"/>
                              <w:rFonts w:ascii="黑体" w:hAnsi="黑体" w:eastAsia="黑体"/>
                              <w:b w:val="0"/>
                              <w:szCs w:val="21"/>
                            </w:rPr>
                            <w:t>—</w:t>
                          </w:r>
                          <w:r>
                            <w:rPr>
                              <w:rStyle w:val="58"/>
                              <w:rFonts w:hint="eastAsia" w:ascii="黑体" w:hAnsi="黑体" w:eastAsia="黑体"/>
                              <w:b w:val="0"/>
                              <w:szCs w:val="21"/>
                            </w:rPr>
                            <w:t>XXXX</w:t>
                          </w:r>
                        </w:p>
                        <w:p w14:paraId="27913E13">
                          <w:pPr>
                            <w:jc w:val="left"/>
                            <w:rPr>
                              <w:rStyle w:val="58"/>
                              <w:rFonts w:eastAsia="宋体"/>
                            </w:rPr>
                          </w:pPr>
                        </w:p>
                      </w:txbxContent>
                    </wps:txbx>
                    <wps:bodyPr rot="0" vert="horz" wrap="square" lIns="91440" tIns="45720" rIns="91440" bIns="45720" anchor="ctr" anchorCtr="0" upright="1">
                      <a:noAutofit/>
                    </wps:bodyPr>
                  </wps:wsp>
                </a:graphicData>
              </a:graphic>
            </wp:anchor>
          </w:drawing>
        </mc:Choice>
        <mc:Fallback>
          <w:pict>
            <v:shape id="Text Box 1027" o:spid="_x0000_s1026" o:spt="202" type="#_x0000_t202" style="position:absolute;left:0pt;margin-top:59.55pt;height:22.7pt;width:179.25pt;mso-position-horizontal:center;mso-position-horizontal-relative:page;mso-position-vertical-relative:page;z-index:251661312;v-text-anchor:middle;mso-width-relative:page;mso-height-relative:page;" filled="f" stroked="f" coordsize="21600,21600" o:allowoverlap="f" o:gfxdata="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S4vYC1wAAAAgBAAAPAAAAAAAAAAEA&#10;IAAAACIAAABkcnMvZG93bnJldi54bWxQSwECFAAUAAAACACHTuJArXWoaBACAAAoBAAADgAAAAAA&#10;AAABACAAAAAmAQAAZHJzL2Uyb0RvYy54bWxQSwUGAAAAAAYABgBZAQAAqAUAAAAA&#10;">
              <v:fill on="f" focussize="0,0"/>
              <v:stroke on="f"/>
              <v:imagedata o:title=""/>
              <o:lock v:ext="edit" aspectratio="f"/>
              <v:textbox>
                <w:txbxContent>
                  <w:p w14:paraId="2AD424B7">
                    <w:pPr>
                      <w:jc w:val="center"/>
                      <w:rPr>
                        <w:rFonts w:hint="eastAsia" w:ascii="黑体" w:hAnsi="黑体" w:eastAsia="黑体"/>
                        <w:szCs w:val="21"/>
                      </w:rPr>
                    </w:pPr>
                    <w:r>
                      <w:rPr>
                        <w:rStyle w:val="58"/>
                        <w:rFonts w:ascii="黑体" w:hAnsi="黑体" w:eastAsia="黑体"/>
                        <w:b w:val="0"/>
                        <w:szCs w:val="21"/>
                      </w:rPr>
                      <w:t xml:space="preserve">JJF </w:t>
                    </w:r>
                    <w:r>
                      <w:rPr>
                        <w:rStyle w:val="58"/>
                        <w:rFonts w:hint="eastAsia" w:ascii="黑体" w:hAnsi="黑体" w:eastAsia="黑体"/>
                        <w:b w:val="0"/>
                        <w:szCs w:val="21"/>
                      </w:rPr>
                      <w:t>XXXX</w:t>
                    </w:r>
                    <w:r>
                      <w:rPr>
                        <w:rStyle w:val="58"/>
                        <w:rFonts w:ascii="黑体" w:hAnsi="黑体" w:eastAsia="黑体"/>
                        <w:b w:val="0"/>
                        <w:szCs w:val="21"/>
                      </w:rPr>
                      <w:t>—</w:t>
                    </w:r>
                    <w:r>
                      <w:rPr>
                        <w:rStyle w:val="58"/>
                        <w:rFonts w:hint="eastAsia" w:ascii="黑体" w:hAnsi="黑体" w:eastAsia="黑体"/>
                        <w:b w:val="0"/>
                        <w:szCs w:val="21"/>
                      </w:rPr>
                      <w:t>XXXX</w:t>
                    </w:r>
                  </w:p>
                  <w:p w14:paraId="27913E13">
                    <w:pPr>
                      <w:jc w:val="left"/>
                      <w:rPr>
                        <w:rStyle w:val="58"/>
                        <w:rFonts w:eastAsia="宋体"/>
                      </w:rPr>
                    </w:pPr>
                  </w:p>
                </w:txbxContent>
              </v:textbox>
              <w10:anchorlock/>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728BF">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none"/>
      <w:suff w:val="nothing"/>
      <w:lvlText w:val="%1"/>
      <w:lvlJc w:val="left"/>
      <w:pPr>
        <w:ind w:left="2976" w:firstLine="0"/>
      </w:pPr>
      <w:rPr>
        <w:rFonts w:hint="default" w:ascii="Times New Roman" w:hAnsi="Times New Roman"/>
        <w:b/>
        <w:i w:val="0"/>
        <w:sz w:val="21"/>
      </w:rPr>
    </w:lvl>
    <w:lvl w:ilvl="1" w:tentative="0">
      <w:start w:val="1"/>
      <w:numFmt w:val="decimal"/>
      <w:suff w:val="nothing"/>
      <w:lvlText w:val="%1%2　"/>
      <w:lvlJc w:val="left"/>
      <w:pPr>
        <w:ind w:left="3118" w:firstLine="0"/>
      </w:pPr>
      <w:rPr>
        <w:rFonts w:hint="default" w:ascii="Times New Roman" w:hAnsi="Times New Roman" w:eastAsia="黑体" w:cs="Times New Roman"/>
        <w:b w:val="0"/>
        <w:i w:val="0"/>
        <w:sz w:val="24"/>
        <w:szCs w:val="24"/>
        <w:lang w:val="en-US"/>
      </w:rPr>
    </w:lvl>
    <w:lvl w:ilvl="2" w:tentative="0">
      <w:start w:val="1"/>
      <w:numFmt w:val="decimal"/>
      <w:suff w:val="nothing"/>
      <w:lvlText w:val="%1%2.%3　"/>
      <w:lvlJc w:val="left"/>
      <w:pPr>
        <w:ind w:left="3260" w:firstLine="0"/>
      </w:pPr>
      <w:rPr>
        <w:rFonts w:hint="default" w:ascii="Times New Roman" w:hAnsi="Times New Roman" w:eastAsia="宋体" w:cs="Times New Roman"/>
        <w:b w:val="0"/>
        <w:i w:val="0"/>
        <w:sz w:val="24"/>
        <w:szCs w:val="24"/>
      </w:rPr>
    </w:lvl>
    <w:lvl w:ilvl="3" w:tentative="0">
      <w:start w:val="1"/>
      <w:numFmt w:val="decimal"/>
      <w:suff w:val="nothing"/>
      <w:lvlText w:val="%1%2.%3.%4　"/>
      <w:lvlJc w:val="left"/>
      <w:pPr>
        <w:ind w:left="2976" w:firstLine="0"/>
      </w:pPr>
      <w:rPr>
        <w:rFonts w:hint="default" w:ascii="Times New Roman" w:hAnsi="Times New Roman" w:eastAsia="宋体" w:cs="Times New Roman"/>
        <w:b w:val="0"/>
        <w:i w:val="0"/>
        <w:sz w:val="24"/>
        <w:szCs w:val="24"/>
      </w:rPr>
    </w:lvl>
    <w:lvl w:ilvl="4" w:tentative="0">
      <w:start w:val="1"/>
      <w:numFmt w:val="decimal"/>
      <w:suff w:val="nothing"/>
      <w:lvlText w:val="%1%2.%3.%4.%5　"/>
      <w:lvlJc w:val="left"/>
      <w:pPr>
        <w:ind w:left="2976" w:firstLine="0"/>
      </w:pPr>
      <w:rPr>
        <w:rFonts w:hint="eastAsia" w:ascii="黑体" w:hAnsi="Times New Roman" w:eastAsia="黑体"/>
        <w:b w:val="0"/>
        <w:i w:val="0"/>
        <w:sz w:val="21"/>
      </w:rPr>
    </w:lvl>
    <w:lvl w:ilvl="5" w:tentative="0">
      <w:start w:val="1"/>
      <w:numFmt w:val="lowerLetter"/>
      <w:suff w:val="nothing"/>
      <w:lvlText w:val="%6)"/>
      <w:lvlJc w:val="left"/>
      <w:pPr>
        <w:ind w:left="2976" w:firstLine="0"/>
      </w:pPr>
      <w:rPr>
        <w:rFonts w:ascii="黑体" w:hAnsi="宋体" w:eastAsia="黑体" w:cs="Times New Roman"/>
        <w:b w:val="0"/>
        <w:i w:val="0"/>
        <w:sz w:val="21"/>
      </w:rPr>
    </w:lvl>
    <w:lvl w:ilvl="6" w:tentative="0">
      <w:start w:val="1"/>
      <w:numFmt w:val="decimal"/>
      <w:suff w:val="nothing"/>
      <w:lvlText w:val="%1%2.%3.%4.%5.%6.%7　"/>
      <w:lvlJc w:val="left"/>
      <w:pPr>
        <w:ind w:left="2976" w:firstLine="0"/>
      </w:pPr>
      <w:rPr>
        <w:rFonts w:hint="eastAsia" w:ascii="黑体" w:hAnsi="Times New Roman" w:eastAsia="黑体"/>
        <w:b w:val="0"/>
        <w:i w:val="0"/>
        <w:sz w:val="21"/>
      </w:rPr>
    </w:lvl>
    <w:lvl w:ilvl="7" w:tentative="0">
      <w:start w:val="1"/>
      <w:numFmt w:val="decimal"/>
      <w:lvlText w:val="%1.%2.%3.%4.%5.%6.%7.%8"/>
      <w:lvlJc w:val="left"/>
      <w:pPr>
        <w:tabs>
          <w:tab w:val="left" w:pos="7327"/>
        </w:tabs>
        <w:ind w:left="6945" w:hanging="1418"/>
      </w:pPr>
      <w:rPr>
        <w:rFonts w:hint="eastAsia"/>
      </w:rPr>
    </w:lvl>
    <w:lvl w:ilvl="8" w:tentative="0">
      <w:start w:val="1"/>
      <w:numFmt w:val="decimal"/>
      <w:lvlText w:val="%1.%2.%3.%4.%5.%6.%7.%8.%9"/>
      <w:lvlJc w:val="left"/>
      <w:pPr>
        <w:tabs>
          <w:tab w:val="left" w:pos="7753"/>
        </w:tabs>
        <w:ind w:left="7653" w:hanging="1700"/>
      </w:pPr>
      <w:rPr>
        <w:rFonts w:hint="eastAsia"/>
      </w:rPr>
    </w:lvl>
  </w:abstractNum>
  <w:abstractNum w:abstractNumId="1">
    <w:nsid w:val="52CD4B4B"/>
    <w:multiLevelType w:val="multilevel"/>
    <w:tmpl w:val="52CD4B4B"/>
    <w:lvl w:ilvl="0" w:tentative="0">
      <w:start w:val="1"/>
      <w:numFmt w:val="decimal"/>
      <w:lvlText w:val="%1"/>
      <w:lvlJc w:val="left"/>
      <w:pPr>
        <w:ind w:left="420" w:hanging="420"/>
      </w:pPr>
      <w:rPr>
        <w:rFonts w:hint="eastAsia"/>
      </w:rPr>
    </w:lvl>
    <w:lvl w:ilvl="1" w:tentative="0">
      <w:start w:val="2"/>
      <w:numFmt w:val="decimal"/>
      <w:isLgl/>
      <w:lvlText w:val="%1.%2"/>
      <w:lvlJc w:val="left"/>
      <w:pPr>
        <w:ind w:left="585" w:hanging="585"/>
      </w:pPr>
      <w:rPr>
        <w:rFonts w:hint="default"/>
      </w:rPr>
    </w:lvl>
    <w:lvl w:ilvl="2" w:tentative="0">
      <w:start w:val="5"/>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revisionView w:markup="0"/>
  <w:documentProtection w:enforcement="0"/>
  <w:defaultTabStop w:val="420"/>
  <w:drawingGridHorizontalSpacing w:val="105"/>
  <w:drawingGridVerticalSpacing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lMTI3MmFlZGI1MmYxMjgxZDY0NTA5OTdkM2I0MDEifQ=="/>
  </w:docVars>
  <w:rsids>
    <w:rsidRoot w:val="00172A27"/>
    <w:rsid w:val="000004E1"/>
    <w:rsid w:val="000015A3"/>
    <w:rsid w:val="00002802"/>
    <w:rsid w:val="00002954"/>
    <w:rsid w:val="00002D5F"/>
    <w:rsid w:val="00002E25"/>
    <w:rsid w:val="00003959"/>
    <w:rsid w:val="00003FA7"/>
    <w:rsid w:val="000045B9"/>
    <w:rsid w:val="00005371"/>
    <w:rsid w:val="00005B0D"/>
    <w:rsid w:val="000065C1"/>
    <w:rsid w:val="00007084"/>
    <w:rsid w:val="0001357E"/>
    <w:rsid w:val="000138F1"/>
    <w:rsid w:val="000153E2"/>
    <w:rsid w:val="00015EE7"/>
    <w:rsid w:val="00016032"/>
    <w:rsid w:val="000163E0"/>
    <w:rsid w:val="00017190"/>
    <w:rsid w:val="000171CE"/>
    <w:rsid w:val="00017EE5"/>
    <w:rsid w:val="00021496"/>
    <w:rsid w:val="0002193C"/>
    <w:rsid w:val="00021A6B"/>
    <w:rsid w:val="00022463"/>
    <w:rsid w:val="00022CA0"/>
    <w:rsid w:val="00023135"/>
    <w:rsid w:val="00024264"/>
    <w:rsid w:val="000255B9"/>
    <w:rsid w:val="00025943"/>
    <w:rsid w:val="00025B2C"/>
    <w:rsid w:val="0002610F"/>
    <w:rsid w:val="000261E0"/>
    <w:rsid w:val="00026208"/>
    <w:rsid w:val="0002780B"/>
    <w:rsid w:val="000279CE"/>
    <w:rsid w:val="00030E61"/>
    <w:rsid w:val="00033992"/>
    <w:rsid w:val="00035235"/>
    <w:rsid w:val="0003630E"/>
    <w:rsid w:val="00037284"/>
    <w:rsid w:val="00037E07"/>
    <w:rsid w:val="0004058B"/>
    <w:rsid w:val="00040F47"/>
    <w:rsid w:val="00041196"/>
    <w:rsid w:val="000420E2"/>
    <w:rsid w:val="000434F0"/>
    <w:rsid w:val="00044AA2"/>
    <w:rsid w:val="00046EB4"/>
    <w:rsid w:val="000470EB"/>
    <w:rsid w:val="00050ECC"/>
    <w:rsid w:val="00050F5B"/>
    <w:rsid w:val="00051CCB"/>
    <w:rsid w:val="000525CB"/>
    <w:rsid w:val="00052689"/>
    <w:rsid w:val="00052806"/>
    <w:rsid w:val="000531E0"/>
    <w:rsid w:val="00053B50"/>
    <w:rsid w:val="00053D63"/>
    <w:rsid w:val="00054CFF"/>
    <w:rsid w:val="000561D9"/>
    <w:rsid w:val="000563AB"/>
    <w:rsid w:val="00056B62"/>
    <w:rsid w:val="00057AE2"/>
    <w:rsid w:val="00060A32"/>
    <w:rsid w:val="00063573"/>
    <w:rsid w:val="00065020"/>
    <w:rsid w:val="00065DA0"/>
    <w:rsid w:val="00066124"/>
    <w:rsid w:val="000665E5"/>
    <w:rsid w:val="00067F45"/>
    <w:rsid w:val="0007233A"/>
    <w:rsid w:val="000724E5"/>
    <w:rsid w:val="00072F47"/>
    <w:rsid w:val="000731CA"/>
    <w:rsid w:val="000779FC"/>
    <w:rsid w:val="00080047"/>
    <w:rsid w:val="00080654"/>
    <w:rsid w:val="00080DBD"/>
    <w:rsid w:val="000821F8"/>
    <w:rsid w:val="00082803"/>
    <w:rsid w:val="00082A99"/>
    <w:rsid w:val="00083542"/>
    <w:rsid w:val="0008372A"/>
    <w:rsid w:val="0008489B"/>
    <w:rsid w:val="000851A6"/>
    <w:rsid w:val="0008571A"/>
    <w:rsid w:val="00085B7B"/>
    <w:rsid w:val="00085DD6"/>
    <w:rsid w:val="00087245"/>
    <w:rsid w:val="000875B2"/>
    <w:rsid w:val="000876F3"/>
    <w:rsid w:val="00087CF9"/>
    <w:rsid w:val="000900F5"/>
    <w:rsid w:val="00090A56"/>
    <w:rsid w:val="000923EA"/>
    <w:rsid w:val="00093003"/>
    <w:rsid w:val="00093E47"/>
    <w:rsid w:val="000957E3"/>
    <w:rsid w:val="0009606E"/>
    <w:rsid w:val="00096C44"/>
    <w:rsid w:val="000A2203"/>
    <w:rsid w:val="000A24E6"/>
    <w:rsid w:val="000A2770"/>
    <w:rsid w:val="000A2841"/>
    <w:rsid w:val="000A3206"/>
    <w:rsid w:val="000A3EFD"/>
    <w:rsid w:val="000A478F"/>
    <w:rsid w:val="000A5847"/>
    <w:rsid w:val="000A6CFE"/>
    <w:rsid w:val="000A7C63"/>
    <w:rsid w:val="000B09A0"/>
    <w:rsid w:val="000B0A88"/>
    <w:rsid w:val="000B0AE0"/>
    <w:rsid w:val="000B2551"/>
    <w:rsid w:val="000B342F"/>
    <w:rsid w:val="000B38F4"/>
    <w:rsid w:val="000B3D8E"/>
    <w:rsid w:val="000B4CD5"/>
    <w:rsid w:val="000B4F81"/>
    <w:rsid w:val="000B5735"/>
    <w:rsid w:val="000B78DB"/>
    <w:rsid w:val="000B7A40"/>
    <w:rsid w:val="000C0707"/>
    <w:rsid w:val="000C0BC4"/>
    <w:rsid w:val="000C0F99"/>
    <w:rsid w:val="000C0F9A"/>
    <w:rsid w:val="000C1332"/>
    <w:rsid w:val="000C22E4"/>
    <w:rsid w:val="000C2836"/>
    <w:rsid w:val="000C3C59"/>
    <w:rsid w:val="000C418C"/>
    <w:rsid w:val="000C4861"/>
    <w:rsid w:val="000C52AB"/>
    <w:rsid w:val="000C5606"/>
    <w:rsid w:val="000C59A0"/>
    <w:rsid w:val="000D0DC3"/>
    <w:rsid w:val="000D1C87"/>
    <w:rsid w:val="000D4BD7"/>
    <w:rsid w:val="000D632E"/>
    <w:rsid w:val="000D6752"/>
    <w:rsid w:val="000D67E8"/>
    <w:rsid w:val="000D6B8A"/>
    <w:rsid w:val="000D707B"/>
    <w:rsid w:val="000D71B9"/>
    <w:rsid w:val="000D725D"/>
    <w:rsid w:val="000E02B2"/>
    <w:rsid w:val="000E0EA4"/>
    <w:rsid w:val="000E2E00"/>
    <w:rsid w:val="000E4664"/>
    <w:rsid w:val="000E4EE5"/>
    <w:rsid w:val="000E6821"/>
    <w:rsid w:val="000E7122"/>
    <w:rsid w:val="000E7B1B"/>
    <w:rsid w:val="000E7C14"/>
    <w:rsid w:val="000F02E6"/>
    <w:rsid w:val="000F034D"/>
    <w:rsid w:val="000F0479"/>
    <w:rsid w:val="000F059D"/>
    <w:rsid w:val="000F135B"/>
    <w:rsid w:val="000F16D5"/>
    <w:rsid w:val="000F18F2"/>
    <w:rsid w:val="000F4752"/>
    <w:rsid w:val="000F54A7"/>
    <w:rsid w:val="00100C8A"/>
    <w:rsid w:val="0010125A"/>
    <w:rsid w:val="00101587"/>
    <w:rsid w:val="00102121"/>
    <w:rsid w:val="001035D3"/>
    <w:rsid w:val="001035D7"/>
    <w:rsid w:val="001038E0"/>
    <w:rsid w:val="00104AE1"/>
    <w:rsid w:val="00105818"/>
    <w:rsid w:val="00106040"/>
    <w:rsid w:val="00107005"/>
    <w:rsid w:val="0010788F"/>
    <w:rsid w:val="00110768"/>
    <w:rsid w:val="0011095A"/>
    <w:rsid w:val="00111183"/>
    <w:rsid w:val="001117CA"/>
    <w:rsid w:val="001119D9"/>
    <w:rsid w:val="00111B09"/>
    <w:rsid w:val="001131D8"/>
    <w:rsid w:val="001147FD"/>
    <w:rsid w:val="00114CA5"/>
    <w:rsid w:val="00114D7C"/>
    <w:rsid w:val="001178A6"/>
    <w:rsid w:val="00117D9D"/>
    <w:rsid w:val="00122009"/>
    <w:rsid w:val="00122FC6"/>
    <w:rsid w:val="00123838"/>
    <w:rsid w:val="00125376"/>
    <w:rsid w:val="001269D3"/>
    <w:rsid w:val="00130AD1"/>
    <w:rsid w:val="00131841"/>
    <w:rsid w:val="0013265F"/>
    <w:rsid w:val="00132B34"/>
    <w:rsid w:val="0013540A"/>
    <w:rsid w:val="00135A12"/>
    <w:rsid w:val="00135DE8"/>
    <w:rsid w:val="0013670B"/>
    <w:rsid w:val="00136FA5"/>
    <w:rsid w:val="00137244"/>
    <w:rsid w:val="00137AA4"/>
    <w:rsid w:val="00137B8C"/>
    <w:rsid w:val="00137D67"/>
    <w:rsid w:val="0014059C"/>
    <w:rsid w:val="001411C4"/>
    <w:rsid w:val="00142235"/>
    <w:rsid w:val="001436A3"/>
    <w:rsid w:val="001455A6"/>
    <w:rsid w:val="00145844"/>
    <w:rsid w:val="001469AE"/>
    <w:rsid w:val="001479CA"/>
    <w:rsid w:val="00147ECF"/>
    <w:rsid w:val="00150BC7"/>
    <w:rsid w:val="00151092"/>
    <w:rsid w:val="001516B8"/>
    <w:rsid w:val="00152DFD"/>
    <w:rsid w:val="001534CA"/>
    <w:rsid w:val="0015417A"/>
    <w:rsid w:val="001547D9"/>
    <w:rsid w:val="00154BEC"/>
    <w:rsid w:val="00154CC9"/>
    <w:rsid w:val="00160B4B"/>
    <w:rsid w:val="001616F9"/>
    <w:rsid w:val="001618FB"/>
    <w:rsid w:val="001626ED"/>
    <w:rsid w:val="00162FE0"/>
    <w:rsid w:val="00163A21"/>
    <w:rsid w:val="00163A4D"/>
    <w:rsid w:val="00163E3E"/>
    <w:rsid w:val="00167E30"/>
    <w:rsid w:val="00170668"/>
    <w:rsid w:val="0017070D"/>
    <w:rsid w:val="0017255B"/>
    <w:rsid w:val="001729D2"/>
    <w:rsid w:val="00172A27"/>
    <w:rsid w:val="00172F49"/>
    <w:rsid w:val="001731E5"/>
    <w:rsid w:val="001735A4"/>
    <w:rsid w:val="001744B6"/>
    <w:rsid w:val="00175BDA"/>
    <w:rsid w:val="00176A7E"/>
    <w:rsid w:val="00182028"/>
    <w:rsid w:val="00183925"/>
    <w:rsid w:val="00185FEC"/>
    <w:rsid w:val="00187839"/>
    <w:rsid w:val="00187915"/>
    <w:rsid w:val="00187AE4"/>
    <w:rsid w:val="0019019B"/>
    <w:rsid w:val="001902DE"/>
    <w:rsid w:val="001929FA"/>
    <w:rsid w:val="001936C3"/>
    <w:rsid w:val="00193E56"/>
    <w:rsid w:val="00193F7E"/>
    <w:rsid w:val="00194634"/>
    <w:rsid w:val="001947FF"/>
    <w:rsid w:val="00196450"/>
    <w:rsid w:val="001975EA"/>
    <w:rsid w:val="001A2DC8"/>
    <w:rsid w:val="001A43FF"/>
    <w:rsid w:val="001A45C9"/>
    <w:rsid w:val="001A75A0"/>
    <w:rsid w:val="001A7C9A"/>
    <w:rsid w:val="001B0473"/>
    <w:rsid w:val="001B0C3D"/>
    <w:rsid w:val="001B12E4"/>
    <w:rsid w:val="001B1942"/>
    <w:rsid w:val="001B1E31"/>
    <w:rsid w:val="001B1EA6"/>
    <w:rsid w:val="001B2156"/>
    <w:rsid w:val="001B295F"/>
    <w:rsid w:val="001B2A07"/>
    <w:rsid w:val="001B30F9"/>
    <w:rsid w:val="001B3C8F"/>
    <w:rsid w:val="001B3D34"/>
    <w:rsid w:val="001B47EB"/>
    <w:rsid w:val="001B55C8"/>
    <w:rsid w:val="001B602F"/>
    <w:rsid w:val="001B6681"/>
    <w:rsid w:val="001C06F9"/>
    <w:rsid w:val="001C28D1"/>
    <w:rsid w:val="001C506A"/>
    <w:rsid w:val="001C60AA"/>
    <w:rsid w:val="001C67A8"/>
    <w:rsid w:val="001C7B15"/>
    <w:rsid w:val="001C7D59"/>
    <w:rsid w:val="001D022B"/>
    <w:rsid w:val="001D02E7"/>
    <w:rsid w:val="001D0A4D"/>
    <w:rsid w:val="001D0FD4"/>
    <w:rsid w:val="001D1338"/>
    <w:rsid w:val="001D175E"/>
    <w:rsid w:val="001D1EF9"/>
    <w:rsid w:val="001D2D93"/>
    <w:rsid w:val="001D3AD0"/>
    <w:rsid w:val="001D3F10"/>
    <w:rsid w:val="001E317D"/>
    <w:rsid w:val="001E43ED"/>
    <w:rsid w:val="001E500B"/>
    <w:rsid w:val="001E5389"/>
    <w:rsid w:val="001E705C"/>
    <w:rsid w:val="001E7ADB"/>
    <w:rsid w:val="001F0055"/>
    <w:rsid w:val="001F0144"/>
    <w:rsid w:val="001F05BF"/>
    <w:rsid w:val="001F30A2"/>
    <w:rsid w:val="001F3ED5"/>
    <w:rsid w:val="001F4C70"/>
    <w:rsid w:val="001F64AA"/>
    <w:rsid w:val="001F73F8"/>
    <w:rsid w:val="001F7782"/>
    <w:rsid w:val="001F7F2F"/>
    <w:rsid w:val="00200A54"/>
    <w:rsid w:val="00200E99"/>
    <w:rsid w:val="00201576"/>
    <w:rsid w:val="00202E95"/>
    <w:rsid w:val="00202F1F"/>
    <w:rsid w:val="00203731"/>
    <w:rsid w:val="00203ACC"/>
    <w:rsid w:val="00204AC5"/>
    <w:rsid w:val="00206897"/>
    <w:rsid w:val="00206AB4"/>
    <w:rsid w:val="00206E97"/>
    <w:rsid w:val="00207224"/>
    <w:rsid w:val="002076E7"/>
    <w:rsid w:val="00207E46"/>
    <w:rsid w:val="00210786"/>
    <w:rsid w:val="00210D63"/>
    <w:rsid w:val="00212632"/>
    <w:rsid w:val="00212F92"/>
    <w:rsid w:val="00213F19"/>
    <w:rsid w:val="00215685"/>
    <w:rsid w:val="00215C2A"/>
    <w:rsid w:val="002167CD"/>
    <w:rsid w:val="002172B8"/>
    <w:rsid w:val="00222070"/>
    <w:rsid w:val="00223FEE"/>
    <w:rsid w:val="00224F9F"/>
    <w:rsid w:val="00227D4A"/>
    <w:rsid w:val="0023055B"/>
    <w:rsid w:val="00231630"/>
    <w:rsid w:val="0023163A"/>
    <w:rsid w:val="00231691"/>
    <w:rsid w:val="00231F2B"/>
    <w:rsid w:val="002338A8"/>
    <w:rsid w:val="002339B3"/>
    <w:rsid w:val="00233CBB"/>
    <w:rsid w:val="00235CA4"/>
    <w:rsid w:val="00236D88"/>
    <w:rsid w:val="00237042"/>
    <w:rsid w:val="00237121"/>
    <w:rsid w:val="00240052"/>
    <w:rsid w:val="0024084C"/>
    <w:rsid w:val="00241142"/>
    <w:rsid w:val="00241F2D"/>
    <w:rsid w:val="00243013"/>
    <w:rsid w:val="0024417E"/>
    <w:rsid w:val="00244848"/>
    <w:rsid w:val="0024542A"/>
    <w:rsid w:val="0024676D"/>
    <w:rsid w:val="00246802"/>
    <w:rsid w:val="00247450"/>
    <w:rsid w:val="00250041"/>
    <w:rsid w:val="00251747"/>
    <w:rsid w:val="00251E83"/>
    <w:rsid w:val="00254699"/>
    <w:rsid w:val="00254D8C"/>
    <w:rsid w:val="00256724"/>
    <w:rsid w:val="00256BCE"/>
    <w:rsid w:val="00256FF2"/>
    <w:rsid w:val="00257CAA"/>
    <w:rsid w:val="002604F9"/>
    <w:rsid w:val="002619C4"/>
    <w:rsid w:val="0026242F"/>
    <w:rsid w:val="00262BC4"/>
    <w:rsid w:val="00262E8E"/>
    <w:rsid w:val="00263927"/>
    <w:rsid w:val="00263984"/>
    <w:rsid w:val="00263A09"/>
    <w:rsid w:val="00264794"/>
    <w:rsid w:val="00264B7C"/>
    <w:rsid w:val="00266556"/>
    <w:rsid w:val="00267388"/>
    <w:rsid w:val="00271B80"/>
    <w:rsid w:val="0027313C"/>
    <w:rsid w:val="002741E2"/>
    <w:rsid w:val="002747FA"/>
    <w:rsid w:val="00275450"/>
    <w:rsid w:val="0027646A"/>
    <w:rsid w:val="00280504"/>
    <w:rsid w:val="00282BF7"/>
    <w:rsid w:val="00282E48"/>
    <w:rsid w:val="00283976"/>
    <w:rsid w:val="00283B4C"/>
    <w:rsid w:val="00284267"/>
    <w:rsid w:val="00284B89"/>
    <w:rsid w:val="00284E7B"/>
    <w:rsid w:val="002864B3"/>
    <w:rsid w:val="00287331"/>
    <w:rsid w:val="002902C4"/>
    <w:rsid w:val="00290EB5"/>
    <w:rsid w:val="00291A0A"/>
    <w:rsid w:val="00291A12"/>
    <w:rsid w:val="0029220D"/>
    <w:rsid w:val="002930E2"/>
    <w:rsid w:val="00293F72"/>
    <w:rsid w:val="00294BBA"/>
    <w:rsid w:val="00294E6F"/>
    <w:rsid w:val="00295F5B"/>
    <w:rsid w:val="00296F23"/>
    <w:rsid w:val="002972D7"/>
    <w:rsid w:val="002A07E0"/>
    <w:rsid w:val="002A09A2"/>
    <w:rsid w:val="002A0FD2"/>
    <w:rsid w:val="002A1763"/>
    <w:rsid w:val="002A293E"/>
    <w:rsid w:val="002A2D32"/>
    <w:rsid w:val="002A3947"/>
    <w:rsid w:val="002A4085"/>
    <w:rsid w:val="002A494D"/>
    <w:rsid w:val="002A4C59"/>
    <w:rsid w:val="002A53E1"/>
    <w:rsid w:val="002A5A22"/>
    <w:rsid w:val="002A5F4E"/>
    <w:rsid w:val="002A6175"/>
    <w:rsid w:val="002A627F"/>
    <w:rsid w:val="002A69ED"/>
    <w:rsid w:val="002A6C28"/>
    <w:rsid w:val="002A73A9"/>
    <w:rsid w:val="002A75B3"/>
    <w:rsid w:val="002B0280"/>
    <w:rsid w:val="002B0738"/>
    <w:rsid w:val="002B125D"/>
    <w:rsid w:val="002B1ED2"/>
    <w:rsid w:val="002B627D"/>
    <w:rsid w:val="002B6420"/>
    <w:rsid w:val="002B737B"/>
    <w:rsid w:val="002C10DA"/>
    <w:rsid w:val="002C220E"/>
    <w:rsid w:val="002C4407"/>
    <w:rsid w:val="002C6849"/>
    <w:rsid w:val="002D0B7B"/>
    <w:rsid w:val="002D0CCD"/>
    <w:rsid w:val="002D3717"/>
    <w:rsid w:val="002D3974"/>
    <w:rsid w:val="002D4993"/>
    <w:rsid w:val="002D7A5B"/>
    <w:rsid w:val="002D7FE9"/>
    <w:rsid w:val="002E044C"/>
    <w:rsid w:val="002E21FF"/>
    <w:rsid w:val="002E3149"/>
    <w:rsid w:val="002E3A38"/>
    <w:rsid w:val="002E5165"/>
    <w:rsid w:val="002E773B"/>
    <w:rsid w:val="002E7B11"/>
    <w:rsid w:val="002E7EF2"/>
    <w:rsid w:val="002F0B8E"/>
    <w:rsid w:val="002F1F96"/>
    <w:rsid w:val="002F2454"/>
    <w:rsid w:val="002F2C4E"/>
    <w:rsid w:val="002F3BEE"/>
    <w:rsid w:val="002F7090"/>
    <w:rsid w:val="002F72C0"/>
    <w:rsid w:val="002F7A3C"/>
    <w:rsid w:val="00301D91"/>
    <w:rsid w:val="00302298"/>
    <w:rsid w:val="0030351B"/>
    <w:rsid w:val="00303AB1"/>
    <w:rsid w:val="00304585"/>
    <w:rsid w:val="00304D8D"/>
    <w:rsid w:val="0030794C"/>
    <w:rsid w:val="00310F7B"/>
    <w:rsid w:val="0031191A"/>
    <w:rsid w:val="0031237F"/>
    <w:rsid w:val="0031303E"/>
    <w:rsid w:val="003138EB"/>
    <w:rsid w:val="00313AE5"/>
    <w:rsid w:val="00314D6E"/>
    <w:rsid w:val="00314F44"/>
    <w:rsid w:val="00315554"/>
    <w:rsid w:val="00315E5C"/>
    <w:rsid w:val="00317922"/>
    <w:rsid w:val="00317C5A"/>
    <w:rsid w:val="00320CA1"/>
    <w:rsid w:val="00322817"/>
    <w:rsid w:val="00323021"/>
    <w:rsid w:val="00324A1C"/>
    <w:rsid w:val="00324D09"/>
    <w:rsid w:val="00325DE5"/>
    <w:rsid w:val="00327199"/>
    <w:rsid w:val="003272F4"/>
    <w:rsid w:val="003277AF"/>
    <w:rsid w:val="00327ECF"/>
    <w:rsid w:val="003301E2"/>
    <w:rsid w:val="0033027C"/>
    <w:rsid w:val="00330A24"/>
    <w:rsid w:val="00331D61"/>
    <w:rsid w:val="00333859"/>
    <w:rsid w:val="00336F79"/>
    <w:rsid w:val="003374C2"/>
    <w:rsid w:val="0033766C"/>
    <w:rsid w:val="00337BD8"/>
    <w:rsid w:val="00340B44"/>
    <w:rsid w:val="003423E6"/>
    <w:rsid w:val="00343CF6"/>
    <w:rsid w:val="003466B6"/>
    <w:rsid w:val="00347878"/>
    <w:rsid w:val="0035000A"/>
    <w:rsid w:val="00350865"/>
    <w:rsid w:val="00350D64"/>
    <w:rsid w:val="003514F2"/>
    <w:rsid w:val="00352EEC"/>
    <w:rsid w:val="003543D2"/>
    <w:rsid w:val="0035499C"/>
    <w:rsid w:val="003561A8"/>
    <w:rsid w:val="00356714"/>
    <w:rsid w:val="003611F5"/>
    <w:rsid w:val="00361CCD"/>
    <w:rsid w:val="0036296C"/>
    <w:rsid w:val="003633B9"/>
    <w:rsid w:val="0036385C"/>
    <w:rsid w:val="003641D2"/>
    <w:rsid w:val="0036481E"/>
    <w:rsid w:val="00367A13"/>
    <w:rsid w:val="0037022E"/>
    <w:rsid w:val="00370271"/>
    <w:rsid w:val="003705C6"/>
    <w:rsid w:val="00372A6D"/>
    <w:rsid w:val="00372E4C"/>
    <w:rsid w:val="00372EA9"/>
    <w:rsid w:val="00373CB4"/>
    <w:rsid w:val="00374C73"/>
    <w:rsid w:val="00375D28"/>
    <w:rsid w:val="00375D8A"/>
    <w:rsid w:val="00377940"/>
    <w:rsid w:val="00380FEE"/>
    <w:rsid w:val="00381C0A"/>
    <w:rsid w:val="00381C15"/>
    <w:rsid w:val="00382289"/>
    <w:rsid w:val="0038369B"/>
    <w:rsid w:val="003879E2"/>
    <w:rsid w:val="00387A5B"/>
    <w:rsid w:val="00390B58"/>
    <w:rsid w:val="003915C4"/>
    <w:rsid w:val="00392DFC"/>
    <w:rsid w:val="00394329"/>
    <w:rsid w:val="003955E5"/>
    <w:rsid w:val="0039648E"/>
    <w:rsid w:val="00396C97"/>
    <w:rsid w:val="003A364C"/>
    <w:rsid w:val="003A4848"/>
    <w:rsid w:val="003A4C08"/>
    <w:rsid w:val="003A5120"/>
    <w:rsid w:val="003A57F9"/>
    <w:rsid w:val="003A5C0F"/>
    <w:rsid w:val="003A6048"/>
    <w:rsid w:val="003A6FCE"/>
    <w:rsid w:val="003B341A"/>
    <w:rsid w:val="003B405A"/>
    <w:rsid w:val="003B6C41"/>
    <w:rsid w:val="003B7220"/>
    <w:rsid w:val="003B78E9"/>
    <w:rsid w:val="003B7EA5"/>
    <w:rsid w:val="003C0EC5"/>
    <w:rsid w:val="003C1A3C"/>
    <w:rsid w:val="003C1F9F"/>
    <w:rsid w:val="003C25AA"/>
    <w:rsid w:val="003C2B90"/>
    <w:rsid w:val="003C35FF"/>
    <w:rsid w:val="003C6C3F"/>
    <w:rsid w:val="003C6C87"/>
    <w:rsid w:val="003C6D38"/>
    <w:rsid w:val="003C6DD8"/>
    <w:rsid w:val="003C7534"/>
    <w:rsid w:val="003C789E"/>
    <w:rsid w:val="003D122E"/>
    <w:rsid w:val="003D1EF6"/>
    <w:rsid w:val="003D38B8"/>
    <w:rsid w:val="003D3AB8"/>
    <w:rsid w:val="003D4046"/>
    <w:rsid w:val="003D4AB8"/>
    <w:rsid w:val="003D69F4"/>
    <w:rsid w:val="003D777A"/>
    <w:rsid w:val="003E133C"/>
    <w:rsid w:val="003E220C"/>
    <w:rsid w:val="003E23DB"/>
    <w:rsid w:val="003E29AB"/>
    <w:rsid w:val="003E2E4A"/>
    <w:rsid w:val="003E40D8"/>
    <w:rsid w:val="003E4192"/>
    <w:rsid w:val="003E4E9C"/>
    <w:rsid w:val="003E57C9"/>
    <w:rsid w:val="003E5CE8"/>
    <w:rsid w:val="003E6407"/>
    <w:rsid w:val="003E6621"/>
    <w:rsid w:val="003E7D7B"/>
    <w:rsid w:val="003F04D8"/>
    <w:rsid w:val="003F06B9"/>
    <w:rsid w:val="003F15AB"/>
    <w:rsid w:val="003F1A47"/>
    <w:rsid w:val="003F370E"/>
    <w:rsid w:val="003F371E"/>
    <w:rsid w:val="003F385C"/>
    <w:rsid w:val="003F3F98"/>
    <w:rsid w:val="003F5599"/>
    <w:rsid w:val="003F62AA"/>
    <w:rsid w:val="003F6311"/>
    <w:rsid w:val="003F7C14"/>
    <w:rsid w:val="00400D09"/>
    <w:rsid w:val="00402E2C"/>
    <w:rsid w:val="0040387F"/>
    <w:rsid w:val="00403DEB"/>
    <w:rsid w:val="004054F5"/>
    <w:rsid w:val="004069EA"/>
    <w:rsid w:val="00406F1B"/>
    <w:rsid w:val="00407E00"/>
    <w:rsid w:val="004105C3"/>
    <w:rsid w:val="00410C08"/>
    <w:rsid w:val="00411043"/>
    <w:rsid w:val="00411C21"/>
    <w:rsid w:val="00411D11"/>
    <w:rsid w:val="004126D4"/>
    <w:rsid w:val="00412CFD"/>
    <w:rsid w:val="0041306D"/>
    <w:rsid w:val="004131E4"/>
    <w:rsid w:val="00413852"/>
    <w:rsid w:val="004140B9"/>
    <w:rsid w:val="0041607D"/>
    <w:rsid w:val="00416344"/>
    <w:rsid w:val="004163D9"/>
    <w:rsid w:val="00417843"/>
    <w:rsid w:val="0041789B"/>
    <w:rsid w:val="00417A07"/>
    <w:rsid w:val="004203FA"/>
    <w:rsid w:val="00420B4C"/>
    <w:rsid w:val="00420BDA"/>
    <w:rsid w:val="0042298F"/>
    <w:rsid w:val="00424F23"/>
    <w:rsid w:val="00425814"/>
    <w:rsid w:val="00425D4B"/>
    <w:rsid w:val="00426CDB"/>
    <w:rsid w:val="0042734E"/>
    <w:rsid w:val="004308FE"/>
    <w:rsid w:val="0043162E"/>
    <w:rsid w:val="004317B1"/>
    <w:rsid w:val="00432304"/>
    <w:rsid w:val="0043432D"/>
    <w:rsid w:val="00436097"/>
    <w:rsid w:val="00436BAE"/>
    <w:rsid w:val="00440289"/>
    <w:rsid w:val="004402F9"/>
    <w:rsid w:val="00442829"/>
    <w:rsid w:val="00442A4A"/>
    <w:rsid w:val="00442D90"/>
    <w:rsid w:val="004437D3"/>
    <w:rsid w:val="00444488"/>
    <w:rsid w:val="00444EAD"/>
    <w:rsid w:val="00446147"/>
    <w:rsid w:val="00447F66"/>
    <w:rsid w:val="00451B18"/>
    <w:rsid w:val="004531E7"/>
    <w:rsid w:val="00453BA0"/>
    <w:rsid w:val="004563EE"/>
    <w:rsid w:val="00457329"/>
    <w:rsid w:val="00457AF7"/>
    <w:rsid w:val="00462348"/>
    <w:rsid w:val="0046293A"/>
    <w:rsid w:val="00463D66"/>
    <w:rsid w:val="00465726"/>
    <w:rsid w:val="00465845"/>
    <w:rsid w:val="00466050"/>
    <w:rsid w:val="00466E87"/>
    <w:rsid w:val="004703AD"/>
    <w:rsid w:val="004705DA"/>
    <w:rsid w:val="004706C9"/>
    <w:rsid w:val="0047115B"/>
    <w:rsid w:val="00472420"/>
    <w:rsid w:val="00474799"/>
    <w:rsid w:val="00474807"/>
    <w:rsid w:val="00474F6B"/>
    <w:rsid w:val="00475238"/>
    <w:rsid w:val="00475D27"/>
    <w:rsid w:val="0047737C"/>
    <w:rsid w:val="00481190"/>
    <w:rsid w:val="0048189D"/>
    <w:rsid w:val="00481933"/>
    <w:rsid w:val="00482206"/>
    <w:rsid w:val="00483377"/>
    <w:rsid w:val="004834B3"/>
    <w:rsid w:val="0048396A"/>
    <w:rsid w:val="00484014"/>
    <w:rsid w:val="004843FB"/>
    <w:rsid w:val="00485674"/>
    <w:rsid w:val="00486AD5"/>
    <w:rsid w:val="00486F16"/>
    <w:rsid w:val="004917C2"/>
    <w:rsid w:val="00491A1F"/>
    <w:rsid w:val="00492100"/>
    <w:rsid w:val="004921A0"/>
    <w:rsid w:val="00492389"/>
    <w:rsid w:val="004926F9"/>
    <w:rsid w:val="0049331A"/>
    <w:rsid w:val="00495044"/>
    <w:rsid w:val="004964B1"/>
    <w:rsid w:val="00496A7A"/>
    <w:rsid w:val="00496B07"/>
    <w:rsid w:val="004A0258"/>
    <w:rsid w:val="004A0D68"/>
    <w:rsid w:val="004A1597"/>
    <w:rsid w:val="004A192F"/>
    <w:rsid w:val="004A1FC9"/>
    <w:rsid w:val="004A46D9"/>
    <w:rsid w:val="004A5D93"/>
    <w:rsid w:val="004A6060"/>
    <w:rsid w:val="004A6141"/>
    <w:rsid w:val="004A69D5"/>
    <w:rsid w:val="004A6D25"/>
    <w:rsid w:val="004A7736"/>
    <w:rsid w:val="004B0D36"/>
    <w:rsid w:val="004B2980"/>
    <w:rsid w:val="004B330B"/>
    <w:rsid w:val="004B492F"/>
    <w:rsid w:val="004B585F"/>
    <w:rsid w:val="004B7155"/>
    <w:rsid w:val="004C1FBA"/>
    <w:rsid w:val="004C2993"/>
    <w:rsid w:val="004C2BF8"/>
    <w:rsid w:val="004C3B80"/>
    <w:rsid w:val="004C59FF"/>
    <w:rsid w:val="004C6522"/>
    <w:rsid w:val="004C7A3D"/>
    <w:rsid w:val="004D055B"/>
    <w:rsid w:val="004D0AF6"/>
    <w:rsid w:val="004D0C37"/>
    <w:rsid w:val="004D13EB"/>
    <w:rsid w:val="004D31BE"/>
    <w:rsid w:val="004D3B4D"/>
    <w:rsid w:val="004D3DA2"/>
    <w:rsid w:val="004D57C7"/>
    <w:rsid w:val="004D6DEA"/>
    <w:rsid w:val="004D6EA4"/>
    <w:rsid w:val="004D77FA"/>
    <w:rsid w:val="004E0654"/>
    <w:rsid w:val="004E0F47"/>
    <w:rsid w:val="004E290D"/>
    <w:rsid w:val="004E2C62"/>
    <w:rsid w:val="004E5710"/>
    <w:rsid w:val="004E7678"/>
    <w:rsid w:val="004E7710"/>
    <w:rsid w:val="004F0F1F"/>
    <w:rsid w:val="004F0FA8"/>
    <w:rsid w:val="004F1C26"/>
    <w:rsid w:val="004F1D7D"/>
    <w:rsid w:val="004F2FFE"/>
    <w:rsid w:val="004F31FD"/>
    <w:rsid w:val="004F33DE"/>
    <w:rsid w:val="004F41D3"/>
    <w:rsid w:val="004F49E9"/>
    <w:rsid w:val="004F4ED2"/>
    <w:rsid w:val="004F5DAB"/>
    <w:rsid w:val="004F6BDB"/>
    <w:rsid w:val="004F6F51"/>
    <w:rsid w:val="004F7D64"/>
    <w:rsid w:val="004F7F19"/>
    <w:rsid w:val="0050083C"/>
    <w:rsid w:val="00501CF7"/>
    <w:rsid w:val="00503B76"/>
    <w:rsid w:val="00504405"/>
    <w:rsid w:val="005070FE"/>
    <w:rsid w:val="00507BC7"/>
    <w:rsid w:val="00510EBC"/>
    <w:rsid w:val="0051197C"/>
    <w:rsid w:val="00511BAD"/>
    <w:rsid w:val="00511D5B"/>
    <w:rsid w:val="00513971"/>
    <w:rsid w:val="0051648A"/>
    <w:rsid w:val="00516FAE"/>
    <w:rsid w:val="00517555"/>
    <w:rsid w:val="005176CF"/>
    <w:rsid w:val="005202D5"/>
    <w:rsid w:val="0052127B"/>
    <w:rsid w:val="00521DF7"/>
    <w:rsid w:val="00524081"/>
    <w:rsid w:val="00525115"/>
    <w:rsid w:val="00525260"/>
    <w:rsid w:val="0052548F"/>
    <w:rsid w:val="005269BF"/>
    <w:rsid w:val="00526E12"/>
    <w:rsid w:val="005316C7"/>
    <w:rsid w:val="00532A08"/>
    <w:rsid w:val="00532C29"/>
    <w:rsid w:val="00532D75"/>
    <w:rsid w:val="0053371D"/>
    <w:rsid w:val="00535358"/>
    <w:rsid w:val="005355B3"/>
    <w:rsid w:val="00537C16"/>
    <w:rsid w:val="00537E47"/>
    <w:rsid w:val="00537F58"/>
    <w:rsid w:val="00540FC7"/>
    <w:rsid w:val="00541D7A"/>
    <w:rsid w:val="0054397E"/>
    <w:rsid w:val="00543E65"/>
    <w:rsid w:val="0054492E"/>
    <w:rsid w:val="00545DA3"/>
    <w:rsid w:val="00546870"/>
    <w:rsid w:val="0054737B"/>
    <w:rsid w:val="00547989"/>
    <w:rsid w:val="00550DEC"/>
    <w:rsid w:val="00552562"/>
    <w:rsid w:val="00553002"/>
    <w:rsid w:val="0055483A"/>
    <w:rsid w:val="00555327"/>
    <w:rsid w:val="00555650"/>
    <w:rsid w:val="00555F68"/>
    <w:rsid w:val="00557418"/>
    <w:rsid w:val="005579BB"/>
    <w:rsid w:val="005614CD"/>
    <w:rsid w:val="005615A6"/>
    <w:rsid w:val="00561A8A"/>
    <w:rsid w:val="0056215B"/>
    <w:rsid w:val="00562EC4"/>
    <w:rsid w:val="00566C39"/>
    <w:rsid w:val="00567696"/>
    <w:rsid w:val="00567BB7"/>
    <w:rsid w:val="005738BA"/>
    <w:rsid w:val="005738FF"/>
    <w:rsid w:val="00575B2A"/>
    <w:rsid w:val="00580605"/>
    <w:rsid w:val="00580B76"/>
    <w:rsid w:val="00581145"/>
    <w:rsid w:val="00581211"/>
    <w:rsid w:val="0058122F"/>
    <w:rsid w:val="0058247C"/>
    <w:rsid w:val="00582BE2"/>
    <w:rsid w:val="00584573"/>
    <w:rsid w:val="00584C32"/>
    <w:rsid w:val="00584FAE"/>
    <w:rsid w:val="00585736"/>
    <w:rsid w:val="00585969"/>
    <w:rsid w:val="00585C5F"/>
    <w:rsid w:val="00586EF6"/>
    <w:rsid w:val="005909E3"/>
    <w:rsid w:val="0059100D"/>
    <w:rsid w:val="005919B5"/>
    <w:rsid w:val="0059206E"/>
    <w:rsid w:val="0059211A"/>
    <w:rsid w:val="00594801"/>
    <w:rsid w:val="00594B50"/>
    <w:rsid w:val="00594E58"/>
    <w:rsid w:val="0059590D"/>
    <w:rsid w:val="0059637C"/>
    <w:rsid w:val="00596A63"/>
    <w:rsid w:val="00597BE0"/>
    <w:rsid w:val="005A0F05"/>
    <w:rsid w:val="005A1D51"/>
    <w:rsid w:val="005A1DDD"/>
    <w:rsid w:val="005A2818"/>
    <w:rsid w:val="005A38C6"/>
    <w:rsid w:val="005A4123"/>
    <w:rsid w:val="005A4C06"/>
    <w:rsid w:val="005A54C6"/>
    <w:rsid w:val="005A560E"/>
    <w:rsid w:val="005A5ED4"/>
    <w:rsid w:val="005A67D3"/>
    <w:rsid w:val="005A6F4C"/>
    <w:rsid w:val="005A7191"/>
    <w:rsid w:val="005A7325"/>
    <w:rsid w:val="005A7C91"/>
    <w:rsid w:val="005B14E6"/>
    <w:rsid w:val="005B1F37"/>
    <w:rsid w:val="005B22DB"/>
    <w:rsid w:val="005B2E2A"/>
    <w:rsid w:val="005B47FE"/>
    <w:rsid w:val="005B64F1"/>
    <w:rsid w:val="005B6FF8"/>
    <w:rsid w:val="005B726D"/>
    <w:rsid w:val="005B775A"/>
    <w:rsid w:val="005B7F04"/>
    <w:rsid w:val="005C2536"/>
    <w:rsid w:val="005C269F"/>
    <w:rsid w:val="005C3D37"/>
    <w:rsid w:val="005C5A5F"/>
    <w:rsid w:val="005C5F33"/>
    <w:rsid w:val="005C75C9"/>
    <w:rsid w:val="005D03AE"/>
    <w:rsid w:val="005D09A4"/>
    <w:rsid w:val="005D0E14"/>
    <w:rsid w:val="005D176E"/>
    <w:rsid w:val="005D1FBC"/>
    <w:rsid w:val="005D3072"/>
    <w:rsid w:val="005D6188"/>
    <w:rsid w:val="005D6A67"/>
    <w:rsid w:val="005D766D"/>
    <w:rsid w:val="005D7724"/>
    <w:rsid w:val="005D7E70"/>
    <w:rsid w:val="005E0854"/>
    <w:rsid w:val="005E0FD6"/>
    <w:rsid w:val="005E1153"/>
    <w:rsid w:val="005E33E3"/>
    <w:rsid w:val="005E37E3"/>
    <w:rsid w:val="005E3AEF"/>
    <w:rsid w:val="005E492A"/>
    <w:rsid w:val="005E4FAA"/>
    <w:rsid w:val="005E4FCD"/>
    <w:rsid w:val="005E5979"/>
    <w:rsid w:val="005F1786"/>
    <w:rsid w:val="005F1F8F"/>
    <w:rsid w:val="005F2E8D"/>
    <w:rsid w:val="005F3419"/>
    <w:rsid w:val="005F3FFD"/>
    <w:rsid w:val="005F4955"/>
    <w:rsid w:val="005F521B"/>
    <w:rsid w:val="005F6831"/>
    <w:rsid w:val="005F792C"/>
    <w:rsid w:val="005F7FBF"/>
    <w:rsid w:val="006000C9"/>
    <w:rsid w:val="006010F0"/>
    <w:rsid w:val="006011A6"/>
    <w:rsid w:val="006012F9"/>
    <w:rsid w:val="00602023"/>
    <w:rsid w:val="0060209E"/>
    <w:rsid w:val="00603212"/>
    <w:rsid w:val="00603860"/>
    <w:rsid w:val="00603F9E"/>
    <w:rsid w:val="00604507"/>
    <w:rsid w:val="00606114"/>
    <w:rsid w:val="00606C1D"/>
    <w:rsid w:val="00607A86"/>
    <w:rsid w:val="00607B7D"/>
    <w:rsid w:val="00610E06"/>
    <w:rsid w:val="00611204"/>
    <w:rsid w:val="006120BE"/>
    <w:rsid w:val="00614287"/>
    <w:rsid w:val="006143E7"/>
    <w:rsid w:val="006157C6"/>
    <w:rsid w:val="0061644E"/>
    <w:rsid w:val="00616659"/>
    <w:rsid w:val="006166CC"/>
    <w:rsid w:val="00616AB8"/>
    <w:rsid w:val="00616F34"/>
    <w:rsid w:val="006213B1"/>
    <w:rsid w:val="00623620"/>
    <w:rsid w:val="006246EE"/>
    <w:rsid w:val="00624992"/>
    <w:rsid w:val="00624E12"/>
    <w:rsid w:val="00626225"/>
    <w:rsid w:val="0062676F"/>
    <w:rsid w:val="00627845"/>
    <w:rsid w:val="00627BEE"/>
    <w:rsid w:val="00630C04"/>
    <w:rsid w:val="00631244"/>
    <w:rsid w:val="0063154D"/>
    <w:rsid w:val="006319E6"/>
    <w:rsid w:val="00631B03"/>
    <w:rsid w:val="006320B1"/>
    <w:rsid w:val="00632553"/>
    <w:rsid w:val="00632B67"/>
    <w:rsid w:val="00633E23"/>
    <w:rsid w:val="00634600"/>
    <w:rsid w:val="00635312"/>
    <w:rsid w:val="00636830"/>
    <w:rsid w:val="0063779A"/>
    <w:rsid w:val="006378F0"/>
    <w:rsid w:val="0063792F"/>
    <w:rsid w:val="0064009D"/>
    <w:rsid w:val="006407B4"/>
    <w:rsid w:val="00640F72"/>
    <w:rsid w:val="00643FDC"/>
    <w:rsid w:val="00644B71"/>
    <w:rsid w:val="00647832"/>
    <w:rsid w:val="00647D3F"/>
    <w:rsid w:val="00650766"/>
    <w:rsid w:val="0065149E"/>
    <w:rsid w:val="00652981"/>
    <w:rsid w:val="006533E1"/>
    <w:rsid w:val="0065480D"/>
    <w:rsid w:val="00654ACA"/>
    <w:rsid w:val="0065588F"/>
    <w:rsid w:val="0065698C"/>
    <w:rsid w:val="006571AB"/>
    <w:rsid w:val="0065758B"/>
    <w:rsid w:val="00657708"/>
    <w:rsid w:val="00657B14"/>
    <w:rsid w:val="006600E0"/>
    <w:rsid w:val="00661AD0"/>
    <w:rsid w:val="00662544"/>
    <w:rsid w:val="006640B8"/>
    <w:rsid w:val="00664783"/>
    <w:rsid w:val="00664ADC"/>
    <w:rsid w:val="00666BEF"/>
    <w:rsid w:val="006673AC"/>
    <w:rsid w:val="006704E1"/>
    <w:rsid w:val="0067067B"/>
    <w:rsid w:val="00671B47"/>
    <w:rsid w:val="00671BDB"/>
    <w:rsid w:val="006726B6"/>
    <w:rsid w:val="006729A8"/>
    <w:rsid w:val="00673065"/>
    <w:rsid w:val="00673D3C"/>
    <w:rsid w:val="00673EE5"/>
    <w:rsid w:val="0067420A"/>
    <w:rsid w:val="006751A3"/>
    <w:rsid w:val="006761CA"/>
    <w:rsid w:val="00680309"/>
    <w:rsid w:val="006803A0"/>
    <w:rsid w:val="006803AC"/>
    <w:rsid w:val="006814B1"/>
    <w:rsid w:val="006817CE"/>
    <w:rsid w:val="00682775"/>
    <w:rsid w:val="00683248"/>
    <w:rsid w:val="006838A7"/>
    <w:rsid w:val="00683DCE"/>
    <w:rsid w:val="00684C6D"/>
    <w:rsid w:val="00684FA8"/>
    <w:rsid w:val="00685224"/>
    <w:rsid w:val="006858F9"/>
    <w:rsid w:val="006864DA"/>
    <w:rsid w:val="00686AA0"/>
    <w:rsid w:val="0068796F"/>
    <w:rsid w:val="006923FD"/>
    <w:rsid w:val="00693D08"/>
    <w:rsid w:val="00693E51"/>
    <w:rsid w:val="00694181"/>
    <w:rsid w:val="0069434C"/>
    <w:rsid w:val="00695D0E"/>
    <w:rsid w:val="00697A09"/>
    <w:rsid w:val="00697BDD"/>
    <w:rsid w:val="006A047A"/>
    <w:rsid w:val="006A20EA"/>
    <w:rsid w:val="006A243F"/>
    <w:rsid w:val="006A2A0D"/>
    <w:rsid w:val="006A37AD"/>
    <w:rsid w:val="006A3E42"/>
    <w:rsid w:val="006A44DC"/>
    <w:rsid w:val="006A4675"/>
    <w:rsid w:val="006A5A7D"/>
    <w:rsid w:val="006A5D45"/>
    <w:rsid w:val="006A6576"/>
    <w:rsid w:val="006B031C"/>
    <w:rsid w:val="006B08A7"/>
    <w:rsid w:val="006B09D2"/>
    <w:rsid w:val="006B0CF5"/>
    <w:rsid w:val="006B295A"/>
    <w:rsid w:val="006B386E"/>
    <w:rsid w:val="006B3CA9"/>
    <w:rsid w:val="006B41C9"/>
    <w:rsid w:val="006B69D4"/>
    <w:rsid w:val="006C02C0"/>
    <w:rsid w:val="006C049A"/>
    <w:rsid w:val="006C09E6"/>
    <w:rsid w:val="006C355D"/>
    <w:rsid w:val="006C377F"/>
    <w:rsid w:val="006C4125"/>
    <w:rsid w:val="006C577E"/>
    <w:rsid w:val="006C5866"/>
    <w:rsid w:val="006C745F"/>
    <w:rsid w:val="006D125C"/>
    <w:rsid w:val="006D1824"/>
    <w:rsid w:val="006D2124"/>
    <w:rsid w:val="006D2B00"/>
    <w:rsid w:val="006D2CD1"/>
    <w:rsid w:val="006D44D6"/>
    <w:rsid w:val="006D53B3"/>
    <w:rsid w:val="006D5480"/>
    <w:rsid w:val="006D5ED2"/>
    <w:rsid w:val="006D73B1"/>
    <w:rsid w:val="006E0719"/>
    <w:rsid w:val="006E15D5"/>
    <w:rsid w:val="006E24A1"/>
    <w:rsid w:val="006E2D86"/>
    <w:rsid w:val="006E540F"/>
    <w:rsid w:val="006E5972"/>
    <w:rsid w:val="006E6C5F"/>
    <w:rsid w:val="006E6E7B"/>
    <w:rsid w:val="006E7929"/>
    <w:rsid w:val="006F1A51"/>
    <w:rsid w:val="006F1FC8"/>
    <w:rsid w:val="006F2655"/>
    <w:rsid w:val="006F2E66"/>
    <w:rsid w:val="006F3C23"/>
    <w:rsid w:val="006F4622"/>
    <w:rsid w:val="006F619E"/>
    <w:rsid w:val="006F6AF8"/>
    <w:rsid w:val="006F7384"/>
    <w:rsid w:val="006F75EE"/>
    <w:rsid w:val="007039E6"/>
    <w:rsid w:val="00703ACE"/>
    <w:rsid w:val="00704213"/>
    <w:rsid w:val="00705206"/>
    <w:rsid w:val="00707249"/>
    <w:rsid w:val="007074FC"/>
    <w:rsid w:val="00707762"/>
    <w:rsid w:val="00707A09"/>
    <w:rsid w:val="00710128"/>
    <w:rsid w:val="00710322"/>
    <w:rsid w:val="007103A3"/>
    <w:rsid w:val="00711004"/>
    <w:rsid w:val="00711699"/>
    <w:rsid w:val="00712067"/>
    <w:rsid w:val="007127DA"/>
    <w:rsid w:val="007137EE"/>
    <w:rsid w:val="0071388F"/>
    <w:rsid w:val="00713C26"/>
    <w:rsid w:val="007152E5"/>
    <w:rsid w:val="00715FD1"/>
    <w:rsid w:val="0071703A"/>
    <w:rsid w:val="00717EC3"/>
    <w:rsid w:val="007207B3"/>
    <w:rsid w:val="007215AD"/>
    <w:rsid w:val="00723245"/>
    <w:rsid w:val="0072426C"/>
    <w:rsid w:val="00724AF1"/>
    <w:rsid w:val="00725B37"/>
    <w:rsid w:val="00726645"/>
    <w:rsid w:val="00727472"/>
    <w:rsid w:val="007276E5"/>
    <w:rsid w:val="007321D9"/>
    <w:rsid w:val="007328BC"/>
    <w:rsid w:val="00733570"/>
    <w:rsid w:val="00733BC7"/>
    <w:rsid w:val="0073449F"/>
    <w:rsid w:val="00734A09"/>
    <w:rsid w:val="00735811"/>
    <w:rsid w:val="0073595E"/>
    <w:rsid w:val="0073676E"/>
    <w:rsid w:val="00737268"/>
    <w:rsid w:val="0074034A"/>
    <w:rsid w:val="00740FC6"/>
    <w:rsid w:val="007413F7"/>
    <w:rsid w:val="007427B5"/>
    <w:rsid w:val="0074313D"/>
    <w:rsid w:val="00744877"/>
    <w:rsid w:val="00745CC9"/>
    <w:rsid w:val="007474C9"/>
    <w:rsid w:val="00747648"/>
    <w:rsid w:val="00750980"/>
    <w:rsid w:val="00750B2B"/>
    <w:rsid w:val="00751A37"/>
    <w:rsid w:val="00754325"/>
    <w:rsid w:val="007557D2"/>
    <w:rsid w:val="00757712"/>
    <w:rsid w:val="0075797D"/>
    <w:rsid w:val="00761B36"/>
    <w:rsid w:val="00763C75"/>
    <w:rsid w:val="00764361"/>
    <w:rsid w:val="00764D71"/>
    <w:rsid w:val="007652CA"/>
    <w:rsid w:val="00765A4D"/>
    <w:rsid w:val="00765D99"/>
    <w:rsid w:val="00766BAF"/>
    <w:rsid w:val="007705C8"/>
    <w:rsid w:val="00771198"/>
    <w:rsid w:val="00771BA1"/>
    <w:rsid w:val="00772E69"/>
    <w:rsid w:val="0077326E"/>
    <w:rsid w:val="00774DB9"/>
    <w:rsid w:val="00774FA7"/>
    <w:rsid w:val="007759EC"/>
    <w:rsid w:val="00775A3A"/>
    <w:rsid w:val="00775A81"/>
    <w:rsid w:val="00776889"/>
    <w:rsid w:val="00777FC6"/>
    <w:rsid w:val="00780A1E"/>
    <w:rsid w:val="00782480"/>
    <w:rsid w:val="00782977"/>
    <w:rsid w:val="00783CD8"/>
    <w:rsid w:val="00784379"/>
    <w:rsid w:val="0078672C"/>
    <w:rsid w:val="00786EC6"/>
    <w:rsid w:val="0078792E"/>
    <w:rsid w:val="0078799E"/>
    <w:rsid w:val="00787C40"/>
    <w:rsid w:val="00790A96"/>
    <w:rsid w:val="00790ECD"/>
    <w:rsid w:val="00791699"/>
    <w:rsid w:val="00793009"/>
    <w:rsid w:val="00794842"/>
    <w:rsid w:val="00795172"/>
    <w:rsid w:val="00797D6B"/>
    <w:rsid w:val="007A0600"/>
    <w:rsid w:val="007A11F6"/>
    <w:rsid w:val="007A16ED"/>
    <w:rsid w:val="007A202D"/>
    <w:rsid w:val="007A225C"/>
    <w:rsid w:val="007A649F"/>
    <w:rsid w:val="007A67CE"/>
    <w:rsid w:val="007A67F0"/>
    <w:rsid w:val="007B0603"/>
    <w:rsid w:val="007B077A"/>
    <w:rsid w:val="007B1FC6"/>
    <w:rsid w:val="007B27FE"/>
    <w:rsid w:val="007B2841"/>
    <w:rsid w:val="007B3B24"/>
    <w:rsid w:val="007B4E57"/>
    <w:rsid w:val="007B4EEE"/>
    <w:rsid w:val="007B503C"/>
    <w:rsid w:val="007B6EBE"/>
    <w:rsid w:val="007B7EE1"/>
    <w:rsid w:val="007C2D49"/>
    <w:rsid w:val="007C2EB8"/>
    <w:rsid w:val="007C4007"/>
    <w:rsid w:val="007C4884"/>
    <w:rsid w:val="007C5B2C"/>
    <w:rsid w:val="007C7CBB"/>
    <w:rsid w:val="007D219D"/>
    <w:rsid w:val="007D232D"/>
    <w:rsid w:val="007D2579"/>
    <w:rsid w:val="007D2C61"/>
    <w:rsid w:val="007D3514"/>
    <w:rsid w:val="007D3785"/>
    <w:rsid w:val="007D60A8"/>
    <w:rsid w:val="007D71AC"/>
    <w:rsid w:val="007E1AD7"/>
    <w:rsid w:val="007E2233"/>
    <w:rsid w:val="007E4277"/>
    <w:rsid w:val="007E45F2"/>
    <w:rsid w:val="007E4A22"/>
    <w:rsid w:val="007F0048"/>
    <w:rsid w:val="007F199C"/>
    <w:rsid w:val="007F1FAC"/>
    <w:rsid w:val="007F549C"/>
    <w:rsid w:val="007F5B85"/>
    <w:rsid w:val="007F7615"/>
    <w:rsid w:val="007F7703"/>
    <w:rsid w:val="0080174E"/>
    <w:rsid w:val="00803753"/>
    <w:rsid w:val="00803808"/>
    <w:rsid w:val="008047C1"/>
    <w:rsid w:val="00804DBE"/>
    <w:rsid w:val="00805A07"/>
    <w:rsid w:val="00805AC3"/>
    <w:rsid w:val="00811B8F"/>
    <w:rsid w:val="00812D66"/>
    <w:rsid w:val="0081318A"/>
    <w:rsid w:val="008137E3"/>
    <w:rsid w:val="008167FA"/>
    <w:rsid w:val="00817847"/>
    <w:rsid w:val="0081795B"/>
    <w:rsid w:val="00817B77"/>
    <w:rsid w:val="00820623"/>
    <w:rsid w:val="008225B7"/>
    <w:rsid w:val="008226DA"/>
    <w:rsid w:val="00823715"/>
    <w:rsid w:val="0082378A"/>
    <w:rsid w:val="00823CC0"/>
    <w:rsid w:val="0082423D"/>
    <w:rsid w:val="00824615"/>
    <w:rsid w:val="008254E9"/>
    <w:rsid w:val="00825AB1"/>
    <w:rsid w:val="00825CE5"/>
    <w:rsid w:val="00827DDD"/>
    <w:rsid w:val="00831240"/>
    <w:rsid w:val="0083322C"/>
    <w:rsid w:val="008333C3"/>
    <w:rsid w:val="00833A56"/>
    <w:rsid w:val="0083525F"/>
    <w:rsid w:val="008369DD"/>
    <w:rsid w:val="00841879"/>
    <w:rsid w:val="00841D96"/>
    <w:rsid w:val="008428B6"/>
    <w:rsid w:val="00843344"/>
    <w:rsid w:val="00844780"/>
    <w:rsid w:val="00847426"/>
    <w:rsid w:val="008508CD"/>
    <w:rsid w:val="0085091F"/>
    <w:rsid w:val="0085097F"/>
    <w:rsid w:val="00850E48"/>
    <w:rsid w:val="00851058"/>
    <w:rsid w:val="008524C3"/>
    <w:rsid w:val="00852888"/>
    <w:rsid w:val="008530E5"/>
    <w:rsid w:val="00853F92"/>
    <w:rsid w:val="00854547"/>
    <w:rsid w:val="00854B29"/>
    <w:rsid w:val="00854BC3"/>
    <w:rsid w:val="00855153"/>
    <w:rsid w:val="00855463"/>
    <w:rsid w:val="00856262"/>
    <w:rsid w:val="008563F5"/>
    <w:rsid w:val="0085697A"/>
    <w:rsid w:val="00857268"/>
    <w:rsid w:val="00857BFB"/>
    <w:rsid w:val="00860E16"/>
    <w:rsid w:val="008631DB"/>
    <w:rsid w:val="008635BB"/>
    <w:rsid w:val="00863AC9"/>
    <w:rsid w:val="00863D3B"/>
    <w:rsid w:val="00863DCE"/>
    <w:rsid w:val="00864E08"/>
    <w:rsid w:val="00866229"/>
    <w:rsid w:val="00866B8B"/>
    <w:rsid w:val="0086704A"/>
    <w:rsid w:val="008670DC"/>
    <w:rsid w:val="00867B09"/>
    <w:rsid w:val="008728B3"/>
    <w:rsid w:val="00874CE6"/>
    <w:rsid w:val="00875312"/>
    <w:rsid w:val="00875414"/>
    <w:rsid w:val="008768A7"/>
    <w:rsid w:val="00877DFB"/>
    <w:rsid w:val="008801BF"/>
    <w:rsid w:val="00882BCC"/>
    <w:rsid w:val="008837C1"/>
    <w:rsid w:val="008838C6"/>
    <w:rsid w:val="00883BEE"/>
    <w:rsid w:val="00884FDA"/>
    <w:rsid w:val="0088520D"/>
    <w:rsid w:val="00885C7B"/>
    <w:rsid w:val="00885DD2"/>
    <w:rsid w:val="00890625"/>
    <w:rsid w:val="0089064F"/>
    <w:rsid w:val="00890679"/>
    <w:rsid w:val="00891298"/>
    <w:rsid w:val="0089415E"/>
    <w:rsid w:val="008951BF"/>
    <w:rsid w:val="0089629D"/>
    <w:rsid w:val="008A04DA"/>
    <w:rsid w:val="008A0DF9"/>
    <w:rsid w:val="008A2E26"/>
    <w:rsid w:val="008A3D8F"/>
    <w:rsid w:val="008A3FE7"/>
    <w:rsid w:val="008A5441"/>
    <w:rsid w:val="008A572C"/>
    <w:rsid w:val="008A6845"/>
    <w:rsid w:val="008A7D34"/>
    <w:rsid w:val="008A7EE4"/>
    <w:rsid w:val="008B44DA"/>
    <w:rsid w:val="008B559B"/>
    <w:rsid w:val="008B55F6"/>
    <w:rsid w:val="008B60CD"/>
    <w:rsid w:val="008B617A"/>
    <w:rsid w:val="008B61A3"/>
    <w:rsid w:val="008B62C3"/>
    <w:rsid w:val="008B6F2C"/>
    <w:rsid w:val="008B6FEF"/>
    <w:rsid w:val="008C0298"/>
    <w:rsid w:val="008C2478"/>
    <w:rsid w:val="008C349B"/>
    <w:rsid w:val="008C3C58"/>
    <w:rsid w:val="008C428D"/>
    <w:rsid w:val="008C447B"/>
    <w:rsid w:val="008C6FC1"/>
    <w:rsid w:val="008D04E7"/>
    <w:rsid w:val="008D1BD4"/>
    <w:rsid w:val="008D1E17"/>
    <w:rsid w:val="008D3518"/>
    <w:rsid w:val="008D50BA"/>
    <w:rsid w:val="008D569A"/>
    <w:rsid w:val="008D6990"/>
    <w:rsid w:val="008D7505"/>
    <w:rsid w:val="008E0C4E"/>
    <w:rsid w:val="008E20C7"/>
    <w:rsid w:val="008E2838"/>
    <w:rsid w:val="008E349B"/>
    <w:rsid w:val="008E489C"/>
    <w:rsid w:val="008E6298"/>
    <w:rsid w:val="008E6667"/>
    <w:rsid w:val="008E7915"/>
    <w:rsid w:val="008F0337"/>
    <w:rsid w:val="008F1423"/>
    <w:rsid w:val="008F1446"/>
    <w:rsid w:val="008F18D5"/>
    <w:rsid w:val="008F2936"/>
    <w:rsid w:val="008F2D3A"/>
    <w:rsid w:val="008F4171"/>
    <w:rsid w:val="008F4595"/>
    <w:rsid w:val="008F4A96"/>
    <w:rsid w:val="008F5787"/>
    <w:rsid w:val="008F5FD9"/>
    <w:rsid w:val="008F6ACE"/>
    <w:rsid w:val="009003E1"/>
    <w:rsid w:val="0090299D"/>
    <w:rsid w:val="00903CF7"/>
    <w:rsid w:val="0090459A"/>
    <w:rsid w:val="009048E2"/>
    <w:rsid w:val="00905826"/>
    <w:rsid w:val="009065DB"/>
    <w:rsid w:val="00907567"/>
    <w:rsid w:val="00907B4F"/>
    <w:rsid w:val="00910148"/>
    <w:rsid w:val="00911119"/>
    <w:rsid w:val="009124FE"/>
    <w:rsid w:val="00912BF0"/>
    <w:rsid w:val="00912C07"/>
    <w:rsid w:val="00913001"/>
    <w:rsid w:val="00913C3E"/>
    <w:rsid w:val="009146F4"/>
    <w:rsid w:val="00916910"/>
    <w:rsid w:val="00921F8C"/>
    <w:rsid w:val="009225B9"/>
    <w:rsid w:val="00923127"/>
    <w:rsid w:val="009234B2"/>
    <w:rsid w:val="00925C59"/>
    <w:rsid w:val="009261CD"/>
    <w:rsid w:val="00930421"/>
    <w:rsid w:val="00930C3B"/>
    <w:rsid w:val="00930E2F"/>
    <w:rsid w:val="00931BBD"/>
    <w:rsid w:val="0093224B"/>
    <w:rsid w:val="0093414F"/>
    <w:rsid w:val="009344F8"/>
    <w:rsid w:val="00934D43"/>
    <w:rsid w:val="009363AC"/>
    <w:rsid w:val="00936F3C"/>
    <w:rsid w:val="00943F7C"/>
    <w:rsid w:val="00944D83"/>
    <w:rsid w:val="009457C2"/>
    <w:rsid w:val="0094632F"/>
    <w:rsid w:val="009476DA"/>
    <w:rsid w:val="009479D9"/>
    <w:rsid w:val="00950948"/>
    <w:rsid w:val="0095161F"/>
    <w:rsid w:val="0095249A"/>
    <w:rsid w:val="00952EEC"/>
    <w:rsid w:val="00953F35"/>
    <w:rsid w:val="00954197"/>
    <w:rsid w:val="0095539E"/>
    <w:rsid w:val="0095542A"/>
    <w:rsid w:val="0095642E"/>
    <w:rsid w:val="009572BE"/>
    <w:rsid w:val="00961B29"/>
    <w:rsid w:val="00961D2D"/>
    <w:rsid w:val="009640CF"/>
    <w:rsid w:val="0096541E"/>
    <w:rsid w:val="00965947"/>
    <w:rsid w:val="00965E9A"/>
    <w:rsid w:val="00966271"/>
    <w:rsid w:val="009670C4"/>
    <w:rsid w:val="00967AC6"/>
    <w:rsid w:val="009701C6"/>
    <w:rsid w:val="00970622"/>
    <w:rsid w:val="0097408C"/>
    <w:rsid w:val="0097602D"/>
    <w:rsid w:val="0098123F"/>
    <w:rsid w:val="00981C34"/>
    <w:rsid w:val="00982B07"/>
    <w:rsid w:val="009835E5"/>
    <w:rsid w:val="00983B17"/>
    <w:rsid w:val="00984271"/>
    <w:rsid w:val="0098458B"/>
    <w:rsid w:val="009853D1"/>
    <w:rsid w:val="0098604D"/>
    <w:rsid w:val="0098631C"/>
    <w:rsid w:val="009863AF"/>
    <w:rsid w:val="009869CD"/>
    <w:rsid w:val="00986CF7"/>
    <w:rsid w:val="009906C6"/>
    <w:rsid w:val="009909AC"/>
    <w:rsid w:val="00991066"/>
    <w:rsid w:val="009918EB"/>
    <w:rsid w:val="00991FE3"/>
    <w:rsid w:val="0099228B"/>
    <w:rsid w:val="00992F38"/>
    <w:rsid w:val="009939C4"/>
    <w:rsid w:val="0099463E"/>
    <w:rsid w:val="0099507B"/>
    <w:rsid w:val="009966B8"/>
    <w:rsid w:val="00996824"/>
    <w:rsid w:val="00996D98"/>
    <w:rsid w:val="0099783A"/>
    <w:rsid w:val="009A0991"/>
    <w:rsid w:val="009A0C37"/>
    <w:rsid w:val="009A175D"/>
    <w:rsid w:val="009A1A4F"/>
    <w:rsid w:val="009A1EB7"/>
    <w:rsid w:val="009A219F"/>
    <w:rsid w:val="009A4226"/>
    <w:rsid w:val="009A4E36"/>
    <w:rsid w:val="009A7F84"/>
    <w:rsid w:val="009B0C69"/>
    <w:rsid w:val="009B10B5"/>
    <w:rsid w:val="009B13F1"/>
    <w:rsid w:val="009B1E8B"/>
    <w:rsid w:val="009B2019"/>
    <w:rsid w:val="009B268B"/>
    <w:rsid w:val="009B3E79"/>
    <w:rsid w:val="009B3EB1"/>
    <w:rsid w:val="009B5188"/>
    <w:rsid w:val="009B5387"/>
    <w:rsid w:val="009B5C59"/>
    <w:rsid w:val="009B6329"/>
    <w:rsid w:val="009B7E70"/>
    <w:rsid w:val="009B7E8F"/>
    <w:rsid w:val="009C184C"/>
    <w:rsid w:val="009C28A0"/>
    <w:rsid w:val="009C2C1F"/>
    <w:rsid w:val="009C3C9D"/>
    <w:rsid w:val="009C3FB1"/>
    <w:rsid w:val="009C5CE3"/>
    <w:rsid w:val="009C61FE"/>
    <w:rsid w:val="009C6237"/>
    <w:rsid w:val="009C670D"/>
    <w:rsid w:val="009C77DB"/>
    <w:rsid w:val="009C7B16"/>
    <w:rsid w:val="009D1697"/>
    <w:rsid w:val="009D5533"/>
    <w:rsid w:val="009D5B00"/>
    <w:rsid w:val="009D5C2D"/>
    <w:rsid w:val="009E0108"/>
    <w:rsid w:val="009E4F24"/>
    <w:rsid w:val="009E643B"/>
    <w:rsid w:val="009E6F30"/>
    <w:rsid w:val="009F1328"/>
    <w:rsid w:val="009F2CC6"/>
    <w:rsid w:val="009F3981"/>
    <w:rsid w:val="009F3B3A"/>
    <w:rsid w:val="009F499B"/>
    <w:rsid w:val="009F5DEA"/>
    <w:rsid w:val="009F673C"/>
    <w:rsid w:val="009F7350"/>
    <w:rsid w:val="00A0186E"/>
    <w:rsid w:val="00A01BC5"/>
    <w:rsid w:val="00A037E5"/>
    <w:rsid w:val="00A0454E"/>
    <w:rsid w:val="00A051EC"/>
    <w:rsid w:val="00A05986"/>
    <w:rsid w:val="00A067E8"/>
    <w:rsid w:val="00A0706C"/>
    <w:rsid w:val="00A10354"/>
    <w:rsid w:val="00A10871"/>
    <w:rsid w:val="00A1145E"/>
    <w:rsid w:val="00A11616"/>
    <w:rsid w:val="00A11AD4"/>
    <w:rsid w:val="00A121CC"/>
    <w:rsid w:val="00A1229A"/>
    <w:rsid w:val="00A1419C"/>
    <w:rsid w:val="00A14266"/>
    <w:rsid w:val="00A1482F"/>
    <w:rsid w:val="00A14A1B"/>
    <w:rsid w:val="00A16A25"/>
    <w:rsid w:val="00A17832"/>
    <w:rsid w:val="00A20D95"/>
    <w:rsid w:val="00A213BB"/>
    <w:rsid w:val="00A22328"/>
    <w:rsid w:val="00A227EB"/>
    <w:rsid w:val="00A2355C"/>
    <w:rsid w:val="00A238C2"/>
    <w:rsid w:val="00A2442C"/>
    <w:rsid w:val="00A26182"/>
    <w:rsid w:val="00A26C9A"/>
    <w:rsid w:val="00A27061"/>
    <w:rsid w:val="00A2713D"/>
    <w:rsid w:val="00A30244"/>
    <w:rsid w:val="00A3088D"/>
    <w:rsid w:val="00A30D29"/>
    <w:rsid w:val="00A3180F"/>
    <w:rsid w:val="00A32424"/>
    <w:rsid w:val="00A340E7"/>
    <w:rsid w:val="00A35202"/>
    <w:rsid w:val="00A37650"/>
    <w:rsid w:val="00A401AC"/>
    <w:rsid w:val="00A40AD5"/>
    <w:rsid w:val="00A41827"/>
    <w:rsid w:val="00A4308A"/>
    <w:rsid w:val="00A435E4"/>
    <w:rsid w:val="00A44C15"/>
    <w:rsid w:val="00A4572D"/>
    <w:rsid w:val="00A45E35"/>
    <w:rsid w:val="00A47265"/>
    <w:rsid w:val="00A501D6"/>
    <w:rsid w:val="00A507A7"/>
    <w:rsid w:val="00A51171"/>
    <w:rsid w:val="00A51BD8"/>
    <w:rsid w:val="00A52922"/>
    <w:rsid w:val="00A559D8"/>
    <w:rsid w:val="00A55B3A"/>
    <w:rsid w:val="00A56141"/>
    <w:rsid w:val="00A56278"/>
    <w:rsid w:val="00A57726"/>
    <w:rsid w:val="00A61747"/>
    <w:rsid w:val="00A617ED"/>
    <w:rsid w:val="00A61927"/>
    <w:rsid w:val="00A6277C"/>
    <w:rsid w:val="00A62EB3"/>
    <w:rsid w:val="00A62FD5"/>
    <w:rsid w:val="00A64449"/>
    <w:rsid w:val="00A645EB"/>
    <w:rsid w:val="00A64EBF"/>
    <w:rsid w:val="00A66396"/>
    <w:rsid w:val="00A67347"/>
    <w:rsid w:val="00A67ECD"/>
    <w:rsid w:val="00A67EFA"/>
    <w:rsid w:val="00A704C6"/>
    <w:rsid w:val="00A70592"/>
    <w:rsid w:val="00A70A97"/>
    <w:rsid w:val="00A70B75"/>
    <w:rsid w:val="00A71458"/>
    <w:rsid w:val="00A72019"/>
    <w:rsid w:val="00A72E18"/>
    <w:rsid w:val="00A73A03"/>
    <w:rsid w:val="00A74066"/>
    <w:rsid w:val="00A74C75"/>
    <w:rsid w:val="00A75116"/>
    <w:rsid w:val="00A75DF5"/>
    <w:rsid w:val="00A75E07"/>
    <w:rsid w:val="00A75F23"/>
    <w:rsid w:val="00A7718A"/>
    <w:rsid w:val="00A774AC"/>
    <w:rsid w:val="00A80D1F"/>
    <w:rsid w:val="00A813C8"/>
    <w:rsid w:val="00A8163E"/>
    <w:rsid w:val="00A8172D"/>
    <w:rsid w:val="00A8207B"/>
    <w:rsid w:val="00A82317"/>
    <w:rsid w:val="00A83B90"/>
    <w:rsid w:val="00A83C79"/>
    <w:rsid w:val="00A85096"/>
    <w:rsid w:val="00A8588A"/>
    <w:rsid w:val="00A85C3F"/>
    <w:rsid w:val="00A85D43"/>
    <w:rsid w:val="00A86F07"/>
    <w:rsid w:val="00A87AD2"/>
    <w:rsid w:val="00A87F17"/>
    <w:rsid w:val="00A908C7"/>
    <w:rsid w:val="00A90EC9"/>
    <w:rsid w:val="00A910B4"/>
    <w:rsid w:val="00A912B4"/>
    <w:rsid w:val="00A922DF"/>
    <w:rsid w:val="00A933B8"/>
    <w:rsid w:val="00A93609"/>
    <w:rsid w:val="00A947EC"/>
    <w:rsid w:val="00A9665E"/>
    <w:rsid w:val="00A968E5"/>
    <w:rsid w:val="00A96BC8"/>
    <w:rsid w:val="00A976BB"/>
    <w:rsid w:val="00A97E33"/>
    <w:rsid w:val="00AA0289"/>
    <w:rsid w:val="00AA1E9C"/>
    <w:rsid w:val="00AA29E0"/>
    <w:rsid w:val="00AA2AB3"/>
    <w:rsid w:val="00AA2D6B"/>
    <w:rsid w:val="00AA524A"/>
    <w:rsid w:val="00AA5D66"/>
    <w:rsid w:val="00AA63F8"/>
    <w:rsid w:val="00AA6FE8"/>
    <w:rsid w:val="00AA7839"/>
    <w:rsid w:val="00AB12E5"/>
    <w:rsid w:val="00AB1678"/>
    <w:rsid w:val="00AB363F"/>
    <w:rsid w:val="00AB404C"/>
    <w:rsid w:val="00AB4827"/>
    <w:rsid w:val="00AB49FE"/>
    <w:rsid w:val="00AB514A"/>
    <w:rsid w:val="00AB5550"/>
    <w:rsid w:val="00AB5552"/>
    <w:rsid w:val="00AB5BD1"/>
    <w:rsid w:val="00AB6F63"/>
    <w:rsid w:val="00AB78CB"/>
    <w:rsid w:val="00AC04E2"/>
    <w:rsid w:val="00AC073A"/>
    <w:rsid w:val="00AC0986"/>
    <w:rsid w:val="00AC0990"/>
    <w:rsid w:val="00AC09B8"/>
    <w:rsid w:val="00AC1A14"/>
    <w:rsid w:val="00AC407A"/>
    <w:rsid w:val="00AC5217"/>
    <w:rsid w:val="00AC730E"/>
    <w:rsid w:val="00AC7CFD"/>
    <w:rsid w:val="00AD0AE2"/>
    <w:rsid w:val="00AD1690"/>
    <w:rsid w:val="00AD19E6"/>
    <w:rsid w:val="00AD26B4"/>
    <w:rsid w:val="00AD3A16"/>
    <w:rsid w:val="00AD442F"/>
    <w:rsid w:val="00AD5C91"/>
    <w:rsid w:val="00AD5FD8"/>
    <w:rsid w:val="00AD73FF"/>
    <w:rsid w:val="00AD7865"/>
    <w:rsid w:val="00AE009B"/>
    <w:rsid w:val="00AE06FC"/>
    <w:rsid w:val="00AE0A92"/>
    <w:rsid w:val="00AE289D"/>
    <w:rsid w:val="00AE2939"/>
    <w:rsid w:val="00AE47FB"/>
    <w:rsid w:val="00AE4923"/>
    <w:rsid w:val="00AE5A23"/>
    <w:rsid w:val="00AE5DC0"/>
    <w:rsid w:val="00AE5F99"/>
    <w:rsid w:val="00AE7FBD"/>
    <w:rsid w:val="00AF006C"/>
    <w:rsid w:val="00AF075F"/>
    <w:rsid w:val="00AF0CC1"/>
    <w:rsid w:val="00AF0D68"/>
    <w:rsid w:val="00AF24FE"/>
    <w:rsid w:val="00AF301E"/>
    <w:rsid w:val="00AF350A"/>
    <w:rsid w:val="00AF36A6"/>
    <w:rsid w:val="00AF4338"/>
    <w:rsid w:val="00AF458B"/>
    <w:rsid w:val="00AF4C08"/>
    <w:rsid w:val="00AF67D5"/>
    <w:rsid w:val="00B00A8F"/>
    <w:rsid w:val="00B00EC9"/>
    <w:rsid w:val="00B01717"/>
    <w:rsid w:val="00B03572"/>
    <w:rsid w:val="00B03E99"/>
    <w:rsid w:val="00B0438C"/>
    <w:rsid w:val="00B0441A"/>
    <w:rsid w:val="00B0476E"/>
    <w:rsid w:val="00B057E7"/>
    <w:rsid w:val="00B05F3E"/>
    <w:rsid w:val="00B0640F"/>
    <w:rsid w:val="00B07B59"/>
    <w:rsid w:val="00B07FAE"/>
    <w:rsid w:val="00B1087C"/>
    <w:rsid w:val="00B109F9"/>
    <w:rsid w:val="00B113D6"/>
    <w:rsid w:val="00B11799"/>
    <w:rsid w:val="00B122FC"/>
    <w:rsid w:val="00B14DE4"/>
    <w:rsid w:val="00B14F71"/>
    <w:rsid w:val="00B16757"/>
    <w:rsid w:val="00B2086D"/>
    <w:rsid w:val="00B20CB4"/>
    <w:rsid w:val="00B20D6B"/>
    <w:rsid w:val="00B21574"/>
    <w:rsid w:val="00B237D6"/>
    <w:rsid w:val="00B23E4A"/>
    <w:rsid w:val="00B25ECE"/>
    <w:rsid w:val="00B262BF"/>
    <w:rsid w:val="00B26F8C"/>
    <w:rsid w:val="00B30808"/>
    <w:rsid w:val="00B30AA7"/>
    <w:rsid w:val="00B30E99"/>
    <w:rsid w:val="00B31719"/>
    <w:rsid w:val="00B317EF"/>
    <w:rsid w:val="00B34835"/>
    <w:rsid w:val="00B34C08"/>
    <w:rsid w:val="00B35174"/>
    <w:rsid w:val="00B370C8"/>
    <w:rsid w:val="00B372C5"/>
    <w:rsid w:val="00B40454"/>
    <w:rsid w:val="00B40B75"/>
    <w:rsid w:val="00B41774"/>
    <w:rsid w:val="00B41896"/>
    <w:rsid w:val="00B420B5"/>
    <w:rsid w:val="00B44937"/>
    <w:rsid w:val="00B45AD2"/>
    <w:rsid w:val="00B468C1"/>
    <w:rsid w:val="00B46FEB"/>
    <w:rsid w:val="00B477A4"/>
    <w:rsid w:val="00B50490"/>
    <w:rsid w:val="00B5050C"/>
    <w:rsid w:val="00B50CEF"/>
    <w:rsid w:val="00B52B51"/>
    <w:rsid w:val="00B549BC"/>
    <w:rsid w:val="00B54F32"/>
    <w:rsid w:val="00B55F34"/>
    <w:rsid w:val="00B5637A"/>
    <w:rsid w:val="00B5698E"/>
    <w:rsid w:val="00B5749A"/>
    <w:rsid w:val="00B57DB3"/>
    <w:rsid w:val="00B6001E"/>
    <w:rsid w:val="00B636A7"/>
    <w:rsid w:val="00B63ECE"/>
    <w:rsid w:val="00B65C67"/>
    <w:rsid w:val="00B65CB8"/>
    <w:rsid w:val="00B704FE"/>
    <w:rsid w:val="00B71F3B"/>
    <w:rsid w:val="00B73446"/>
    <w:rsid w:val="00B743D8"/>
    <w:rsid w:val="00B74B8B"/>
    <w:rsid w:val="00B77DC3"/>
    <w:rsid w:val="00B8054A"/>
    <w:rsid w:val="00B80698"/>
    <w:rsid w:val="00B8143A"/>
    <w:rsid w:val="00B8272C"/>
    <w:rsid w:val="00B8273F"/>
    <w:rsid w:val="00B832CA"/>
    <w:rsid w:val="00B835B2"/>
    <w:rsid w:val="00B8399C"/>
    <w:rsid w:val="00B844E9"/>
    <w:rsid w:val="00B84A4E"/>
    <w:rsid w:val="00B90E74"/>
    <w:rsid w:val="00B94E8C"/>
    <w:rsid w:val="00B96097"/>
    <w:rsid w:val="00B9676B"/>
    <w:rsid w:val="00B96BB0"/>
    <w:rsid w:val="00B97237"/>
    <w:rsid w:val="00BA07B2"/>
    <w:rsid w:val="00BA13D2"/>
    <w:rsid w:val="00BA1FF7"/>
    <w:rsid w:val="00BA4E51"/>
    <w:rsid w:val="00BA4FBA"/>
    <w:rsid w:val="00BA5992"/>
    <w:rsid w:val="00BA5C28"/>
    <w:rsid w:val="00BA6003"/>
    <w:rsid w:val="00BA6AB6"/>
    <w:rsid w:val="00BA759D"/>
    <w:rsid w:val="00BA7D68"/>
    <w:rsid w:val="00BA7DC8"/>
    <w:rsid w:val="00BB0B73"/>
    <w:rsid w:val="00BB0C19"/>
    <w:rsid w:val="00BB1158"/>
    <w:rsid w:val="00BB16B9"/>
    <w:rsid w:val="00BB1D1E"/>
    <w:rsid w:val="00BB2410"/>
    <w:rsid w:val="00BB4524"/>
    <w:rsid w:val="00BC0642"/>
    <w:rsid w:val="00BC0A94"/>
    <w:rsid w:val="00BC0B5D"/>
    <w:rsid w:val="00BC5A99"/>
    <w:rsid w:val="00BC5D11"/>
    <w:rsid w:val="00BD13E2"/>
    <w:rsid w:val="00BD1915"/>
    <w:rsid w:val="00BD1F6A"/>
    <w:rsid w:val="00BD2799"/>
    <w:rsid w:val="00BD2A71"/>
    <w:rsid w:val="00BD56BA"/>
    <w:rsid w:val="00BD5A2B"/>
    <w:rsid w:val="00BD5BCF"/>
    <w:rsid w:val="00BD6E67"/>
    <w:rsid w:val="00BD7240"/>
    <w:rsid w:val="00BD7D1A"/>
    <w:rsid w:val="00BE030B"/>
    <w:rsid w:val="00BE1498"/>
    <w:rsid w:val="00BE1C06"/>
    <w:rsid w:val="00BE1C1B"/>
    <w:rsid w:val="00BE1CB6"/>
    <w:rsid w:val="00BE2A06"/>
    <w:rsid w:val="00BE3277"/>
    <w:rsid w:val="00BE32E7"/>
    <w:rsid w:val="00BE356F"/>
    <w:rsid w:val="00BE4B51"/>
    <w:rsid w:val="00BE58CE"/>
    <w:rsid w:val="00BE5A1C"/>
    <w:rsid w:val="00BE668A"/>
    <w:rsid w:val="00BE6977"/>
    <w:rsid w:val="00BF269A"/>
    <w:rsid w:val="00BF2B8E"/>
    <w:rsid w:val="00BF4AF6"/>
    <w:rsid w:val="00BF591E"/>
    <w:rsid w:val="00BF5E0F"/>
    <w:rsid w:val="00BF62B4"/>
    <w:rsid w:val="00BF6959"/>
    <w:rsid w:val="00BF6A18"/>
    <w:rsid w:val="00BF6B19"/>
    <w:rsid w:val="00C03142"/>
    <w:rsid w:val="00C03D8C"/>
    <w:rsid w:val="00C03F37"/>
    <w:rsid w:val="00C04E26"/>
    <w:rsid w:val="00C0504E"/>
    <w:rsid w:val="00C05572"/>
    <w:rsid w:val="00C05782"/>
    <w:rsid w:val="00C058BA"/>
    <w:rsid w:val="00C07A01"/>
    <w:rsid w:val="00C07B64"/>
    <w:rsid w:val="00C10691"/>
    <w:rsid w:val="00C110A0"/>
    <w:rsid w:val="00C12304"/>
    <w:rsid w:val="00C12E09"/>
    <w:rsid w:val="00C13479"/>
    <w:rsid w:val="00C1393D"/>
    <w:rsid w:val="00C15EF7"/>
    <w:rsid w:val="00C1652B"/>
    <w:rsid w:val="00C1663F"/>
    <w:rsid w:val="00C16C36"/>
    <w:rsid w:val="00C16EF9"/>
    <w:rsid w:val="00C17231"/>
    <w:rsid w:val="00C17FBD"/>
    <w:rsid w:val="00C2055A"/>
    <w:rsid w:val="00C20D7E"/>
    <w:rsid w:val="00C24B76"/>
    <w:rsid w:val="00C2623E"/>
    <w:rsid w:val="00C26EB3"/>
    <w:rsid w:val="00C27656"/>
    <w:rsid w:val="00C276DC"/>
    <w:rsid w:val="00C27B0A"/>
    <w:rsid w:val="00C31849"/>
    <w:rsid w:val="00C31F5F"/>
    <w:rsid w:val="00C32ED3"/>
    <w:rsid w:val="00C3365D"/>
    <w:rsid w:val="00C3481B"/>
    <w:rsid w:val="00C34D22"/>
    <w:rsid w:val="00C35317"/>
    <w:rsid w:val="00C36104"/>
    <w:rsid w:val="00C36B37"/>
    <w:rsid w:val="00C37150"/>
    <w:rsid w:val="00C415B0"/>
    <w:rsid w:val="00C41FF3"/>
    <w:rsid w:val="00C42EA0"/>
    <w:rsid w:val="00C42FD7"/>
    <w:rsid w:val="00C45750"/>
    <w:rsid w:val="00C46FF2"/>
    <w:rsid w:val="00C47B58"/>
    <w:rsid w:val="00C5048D"/>
    <w:rsid w:val="00C50C66"/>
    <w:rsid w:val="00C512F8"/>
    <w:rsid w:val="00C5167F"/>
    <w:rsid w:val="00C525B5"/>
    <w:rsid w:val="00C5264F"/>
    <w:rsid w:val="00C5347C"/>
    <w:rsid w:val="00C537B1"/>
    <w:rsid w:val="00C539E0"/>
    <w:rsid w:val="00C53B83"/>
    <w:rsid w:val="00C53DC5"/>
    <w:rsid w:val="00C54347"/>
    <w:rsid w:val="00C54C63"/>
    <w:rsid w:val="00C54D0D"/>
    <w:rsid w:val="00C554F2"/>
    <w:rsid w:val="00C55878"/>
    <w:rsid w:val="00C561A5"/>
    <w:rsid w:val="00C57170"/>
    <w:rsid w:val="00C60169"/>
    <w:rsid w:val="00C60FF3"/>
    <w:rsid w:val="00C619C8"/>
    <w:rsid w:val="00C62C6B"/>
    <w:rsid w:val="00C63E43"/>
    <w:rsid w:val="00C63F61"/>
    <w:rsid w:val="00C64876"/>
    <w:rsid w:val="00C64E16"/>
    <w:rsid w:val="00C654D3"/>
    <w:rsid w:val="00C670AB"/>
    <w:rsid w:val="00C70064"/>
    <w:rsid w:val="00C7057B"/>
    <w:rsid w:val="00C74207"/>
    <w:rsid w:val="00C76F45"/>
    <w:rsid w:val="00C77E30"/>
    <w:rsid w:val="00C802EA"/>
    <w:rsid w:val="00C80D09"/>
    <w:rsid w:val="00C810BA"/>
    <w:rsid w:val="00C81270"/>
    <w:rsid w:val="00C8274A"/>
    <w:rsid w:val="00C82943"/>
    <w:rsid w:val="00C82D10"/>
    <w:rsid w:val="00C85047"/>
    <w:rsid w:val="00C852F0"/>
    <w:rsid w:val="00C853B9"/>
    <w:rsid w:val="00C85E43"/>
    <w:rsid w:val="00C8644E"/>
    <w:rsid w:val="00C87392"/>
    <w:rsid w:val="00C9037E"/>
    <w:rsid w:val="00C929B6"/>
    <w:rsid w:val="00C92E03"/>
    <w:rsid w:val="00C93099"/>
    <w:rsid w:val="00C93989"/>
    <w:rsid w:val="00C95107"/>
    <w:rsid w:val="00C95958"/>
    <w:rsid w:val="00C95DA0"/>
    <w:rsid w:val="00C96A9E"/>
    <w:rsid w:val="00C96C1F"/>
    <w:rsid w:val="00C96FEE"/>
    <w:rsid w:val="00C9724A"/>
    <w:rsid w:val="00C9727B"/>
    <w:rsid w:val="00C976A8"/>
    <w:rsid w:val="00CA00DA"/>
    <w:rsid w:val="00CA02F8"/>
    <w:rsid w:val="00CA033C"/>
    <w:rsid w:val="00CA22A8"/>
    <w:rsid w:val="00CA2575"/>
    <w:rsid w:val="00CA2E6F"/>
    <w:rsid w:val="00CA4FB0"/>
    <w:rsid w:val="00CA6D29"/>
    <w:rsid w:val="00CB29DB"/>
    <w:rsid w:val="00CB5DEC"/>
    <w:rsid w:val="00CB6C29"/>
    <w:rsid w:val="00CB6C32"/>
    <w:rsid w:val="00CC08F5"/>
    <w:rsid w:val="00CC1C6E"/>
    <w:rsid w:val="00CC28D3"/>
    <w:rsid w:val="00CC32E6"/>
    <w:rsid w:val="00CC34EA"/>
    <w:rsid w:val="00CC5C27"/>
    <w:rsid w:val="00CC6A60"/>
    <w:rsid w:val="00CC75EE"/>
    <w:rsid w:val="00CC77EE"/>
    <w:rsid w:val="00CC7B9B"/>
    <w:rsid w:val="00CD07FE"/>
    <w:rsid w:val="00CD1B7F"/>
    <w:rsid w:val="00CD288C"/>
    <w:rsid w:val="00CD2C58"/>
    <w:rsid w:val="00CD373C"/>
    <w:rsid w:val="00CD49D7"/>
    <w:rsid w:val="00CD5552"/>
    <w:rsid w:val="00CD6188"/>
    <w:rsid w:val="00CD620C"/>
    <w:rsid w:val="00CD685A"/>
    <w:rsid w:val="00CD7F0C"/>
    <w:rsid w:val="00CE0453"/>
    <w:rsid w:val="00CE1524"/>
    <w:rsid w:val="00CE18EE"/>
    <w:rsid w:val="00CE1F4D"/>
    <w:rsid w:val="00CE2110"/>
    <w:rsid w:val="00CE26D4"/>
    <w:rsid w:val="00CE3162"/>
    <w:rsid w:val="00CE390C"/>
    <w:rsid w:val="00CE3DB0"/>
    <w:rsid w:val="00CE445B"/>
    <w:rsid w:val="00CE4C58"/>
    <w:rsid w:val="00CE506C"/>
    <w:rsid w:val="00CE78E7"/>
    <w:rsid w:val="00CE7A29"/>
    <w:rsid w:val="00CF1273"/>
    <w:rsid w:val="00CF1E71"/>
    <w:rsid w:val="00CF3A9A"/>
    <w:rsid w:val="00CF4DB6"/>
    <w:rsid w:val="00CF54AE"/>
    <w:rsid w:val="00CF699D"/>
    <w:rsid w:val="00CF70FD"/>
    <w:rsid w:val="00CF7F4D"/>
    <w:rsid w:val="00D03798"/>
    <w:rsid w:val="00D0445E"/>
    <w:rsid w:val="00D05292"/>
    <w:rsid w:val="00D063D6"/>
    <w:rsid w:val="00D06BDD"/>
    <w:rsid w:val="00D06E14"/>
    <w:rsid w:val="00D0744D"/>
    <w:rsid w:val="00D076C5"/>
    <w:rsid w:val="00D07C2C"/>
    <w:rsid w:val="00D07F8B"/>
    <w:rsid w:val="00D107DB"/>
    <w:rsid w:val="00D118A9"/>
    <w:rsid w:val="00D1238F"/>
    <w:rsid w:val="00D15C08"/>
    <w:rsid w:val="00D161CB"/>
    <w:rsid w:val="00D17037"/>
    <w:rsid w:val="00D17AAA"/>
    <w:rsid w:val="00D214A1"/>
    <w:rsid w:val="00D21D53"/>
    <w:rsid w:val="00D21DE4"/>
    <w:rsid w:val="00D236CD"/>
    <w:rsid w:val="00D23A4D"/>
    <w:rsid w:val="00D25108"/>
    <w:rsid w:val="00D25269"/>
    <w:rsid w:val="00D26A42"/>
    <w:rsid w:val="00D26DCB"/>
    <w:rsid w:val="00D30752"/>
    <w:rsid w:val="00D34952"/>
    <w:rsid w:val="00D35632"/>
    <w:rsid w:val="00D35E92"/>
    <w:rsid w:val="00D36CAC"/>
    <w:rsid w:val="00D36E21"/>
    <w:rsid w:val="00D40272"/>
    <w:rsid w:val="00D40FD9"/>
    <w:rsid w:val="00D416C3"/>
    <w:rsid w:val="00D42685"/>
    <w:rsid w:val="00D4366F"/>
    <w:rsid w:val="00D4388A"/>
    <w:rsid w:val="00D43958"/>
    <w:rsid w:val="00D43F3C"/>
    <w:rsid w:val="00D443B0"/>
    <w:rsid w:val="00D452C9"/>
    <w:rsid w:val="00D4613A"/>
    <w:rsid w:val="00D47C1C"/>
    <w:rsid w:val="00D47F3A"/>
    <w:rsid w:val="00D517E0"/>
    <w:rsid w:val="00D51EA2"/>
    <w:rsid w:val="00D5227B"/>
    <w:rsid w:val="00D5233B"/>
    <w:rsid w:val="00D52A81"/>
    <w:rsid w:val="00D52AB3"/>
    <w:rsid w:val="00D55D35"/>
    <w:rsid w:val="00D575FE"/>
    <w:rsid w:val="00D600FA"/>
    <w:rsid w:val="00D61B1F"/>
    <w:rsid w:val="00D622E6"/>
    <w:rsid w:val="00D6263E"/>
    <w:rsid w:val="00D62E5C"/>
    <w:rsid w:val="00D62E5D"/>
    <w:rsid w:val="00D63050"/>
    <w:rsid w:val="00D63123"/>
    <w:rsid w:val="00D63B01"/>
    <w:rsid w:val="00D6411E"/>
    <w:rsid w:val="00D64CAB"/>
    <w:rsid w:val="00D6672B"/>
    <w:rsid w:val="00D66DB3"/>
    <w:rsid w:val="00D71BC0"/>
    <w:rsid w:val="00D73338"/>
    <w:rsid w:val="00D73354"/>
    <w:rsid w:val="00D73803"/>
    <w:rsid w:val="00D745AC"/>
    <w:rsid w:val="00D75FFC"/>
    <w:rsid w:val="00D76FC2"/>
    <w:rsid w:val="00D77D4A"/>
    <w:rsid w:val="00D77EEC"/>
    <w:rsid w:val="00D81BCF"/>
    <w:rsid w:val="00D82830"/>
    <w:rsid w:val="00D8298F"/>
    <w:rsid w:val="00D829D0"/>
    <w:rsid w:val="00D82F06"/>
    <w:rsid w:val="00D83E11"/>
    <w:rsid w:val="00D841AC"/>
    <w:rsid w:val="00D84428"/>
    <w:rsid w:val="00D84F70"/>
    <w:rsid w:val="00D909A0"/>
    <w:rsid w:val="00D920FC"/>
    <w:rsid w:val="00D92928"/>
    <w:rsid w:val="00D92A4F"/>
    <w:rsid w:val="00D9387B"/>
    <w:rsid w:val="00D942F8"/>
    <w:rsid w:val="00D94981"/>
    <w:rsid w:val="00D94B00"/>
    <w:rsid w:val="00D94E74"/>
    <w:rsid w:val="00D968C0"/>
    <w:rsid w:val="00DA0561"/>
    <w:rsid w:val="00DA3119"/>
    <w:rsid w:val="00DA4BD6"/>
    <w:rsid w:val="00DA4FA7"/>
    <w:rsid w:val="00DA5232"/>
    <w:rsid w:val="00DA6B26"/>
    <w:rsid w:val="00DA7E09"/>
    <w:rsid w:val="00DA7E39"/>
    <w:rsid w:val="00DA7FC1"/>
    <w:rsid w:val="00DB0915"/>
    <w:rsid w:val="00DB0EF4"/>
    <w:rsid w:val="00DB1B7F"/>
    <w:rsid w:val="00DB1C06"/>
    <w:rsid w:val="00DB3721"/>
    <w:rsid w:val="00DB3800"/>
    <w:rsid w:val="00DB4181"/>
    <w:rsid w:val="00DB4AB9"/>
    <w:rsid w:val="00DB4E42"/>
    <w:rsid w:val="00DB5211"/>
    <w:rsid w:val="00DB6931"/>
    <w:rsid w:val="00DB6A8F"/>
    <w:rsid w:val="00DB6BE6"/>
    <w:rsid w:val="00DB6DBB"/>
    <w:rsid w:val="00DB7C61"/>
    <w:rsid w:val="00DC04B6"/>
    <w:rsid w:val="00DC0BB0"/>
    <w:rsid w:val="00DC1DFC"/>
    <w:rsid w:val="00DC2BCB"/>
    <w:rsid w:val="00DC2E1E"/>
    <w:rsid w:val="00DC3CE2"/>
    <w:rsid w:val="00DC41C1"/>
    <w:rsid w:val="00DC4240"/>
    <w:rsid w:val="00DC43D3"/>
    <w:rsid w:val="00DC4A62"/>
    <w:rsid w:val="00DC51CF"/>
    <w:rsid w:val="00DC7D3D"/>
    <w:rsid w:val="00DD1F4D"/>
    <w:rsid w:val="00DD3F05"/>
    <w:rsid w:val="00DD40A2"/>
    <w:rsid w:val="00DD46DE"/>
    <w:rsid w:val="00DD5FBD"/>
    <w:rsid w:val="00DD733F"/>
    <w:rsid w:val="00DD7EE2"/>
    <w:rsid w:val="00DE04BB"/>
    <w:rsid w:val="00DE1734"/>
    <w:rsid w:val="00DE2ED9"/>
    <w:rsid w:val="00DE3763"/>
    <w:rsid w:val="00DE4111"/>
    <w:rsid w:val="00DE4525"/>
    <w:rsid w:val="00DE5725"/>
    <w:rsid w:val="00DE5D6C"/>
    <w:rsid w:val="00DE6505"/>
    <w:rsid w:val="00DE6554"/>
    <w:rsid w:val="00DE7123"/>
    <w:rsid w:val="00DE725A"/>
    <w:rsid w:val="00DF0006"/>
    <w:rsid w:val="00DF16B8"/>
    <w:rsid w:val="00DF1943"/>
    <w:rsid w:val="00DF1D2C"/>
    <w:rsid w:val="00DF3311"/>
    <w:rsid w:val="00DF36FF"/>
    <w:rsid w:val="00DF3947"/>
    <w:rsid w:val="00DF6BED"/>
    <w:rsid w:val="00DF6FA0"/>
    <w:rsid w:val="00DF7702"/>
    <w:rsid w:val="00DF7756"/>
    <w:rsid w:val="00E005C9"/>
    <w:rsid w:val="00E00FEE"/>
    <w:rsid w:val="00E01035"/>
    <w:rsid w:val="00E01118"/>
    <w:rsid w:val="00E02AD9"/>
    <w:rsid w:val="00E0320F"/>
    <w:rsid w:val="00E04088"/>
    <w:rsid w:val="00E0485F"/>
    <w:rsid w:val="00E05630"/>
    <w:rsid w:val="00E07852"/>
    <w:rsid w:val="00E07EB0"/>
    <w:rsid w:val="00E07F7B"/>
    <w:rsid w:val="00E124A0"/>
    <w:rsid w:val="00E135DE"/>
    <w:rsid w:val="00E1484E"/>
    <w:rsid w:val="00E148AB"/>
    <w:rsid w:val="00E14FA8"/>
    <w:rsid w:val="00E1571B"/>
    <w:rsid w:val="00E15A8F"/>
    <w:rsid w:val="00E179C5"/>
    <w:rsid w:val="00E17FA2"/>
    <w:rsid w:val="00E2035C"/>
    <w:rsid w:val="00E20B60"/>
    <w:rsid w:val="00E20CA0"/>
    <w:rsid w:val="00E21127"/>
    <w:rsid w:val="00E21F3D"/>
    <w:rsid w:val="00E23DDB"/>
    <w:rsid w:val="00E26CE1"/>
    <w:rsid w:val="00E30E8F"/>
    <w:rsid w:val="00E30FA1"/>
    <w:rsid w:val="00E314C8"/>
    <w:rsid w:val="00E314E5"/>
    <w:rsid w:val="00E317B2"/>
    <w:rsid w:val="00E31EE4"/>
    <w:rsid w:val="00E32331"/>
    <w:rsid w:val="00E3254B"/>
    <w:rsid w:val="00E32798"/>
    <w:rsid w:val="00E32BCA"/>
    <w:rsid w:val="00E33963"/>
    <w:rsid w:val="00E35AD2"/>
    <w:rsid w:val="00E36EFE"/>
    <w:rsid w:val="00E40DB0"/>
    <w:rsid w:val="00E40DD0"/>
    <w:rsid w:val="00E41867"/>
    <w:rsid w:val="00E41F32"/>
    <w:rsid w:val="00E43152"/>
    <w:rsid w:val="00E44145"/>
    <w:rsid w:val="00E44B25"/>
    <w:rsid w:val="00E45165"/>
    <w:rsid w:val="00E45244"/>
    <w:rsid w:val="00E45BC8"/>
    <w:rsid w:val="00E50A92"/>
    <w:rsid w:val="00E51BD9"/>
    <w:rsid w:val="00E5255C"/>
    <w:rsid w:val="00E53453"/>
    <w:rsid w:val="00E54025"/>
    <w:rsid w:val="00E54A62"/>
    <w:rsid w:val="00E55251"/>
    <w:rsid w:val="00E55C28"/>
    <w:rsid w:val="00E562E1"/>
    <w:rsid w:val="00E56BAE"/>
    <w:rsid w:val="00E57053"/>
    <w:rsid w:val="00E57BD7"/>
    <w:rsid w:val="00E57FF3"/>
    <w:rsid w:val="00E60532"/>
    <w:rsid w:val="00E60D5D"/>
    <w:rsid w:val="00E61875"/>
    <w:rsid w:val="00E622AE"/>
    <w:rsid w:val="00E62F11"/>
    <w:rsid w:val="00E635AD"/>
    <w:rsid w:val="00E63742"/>
    <w:rsid w:val="00E6396E"/>
    <w:rsid w:val="00E64F9C"/>
    <w:rsid w:val="00E65CC1"/>
    <w:rsid w:val="00E668B5"/>
    <w:rsid w:val="00E66A13"/>
    <w:rsid w:val="00E67AC8"/>
    <w:rsid w:val="00E67FB8"/>
    <w:rsid w:val="00E70862"/>
    <w:rsid w:val="00E72384"/>
    <w:rsid w:val="00E7316E"/>
    <w:rsid w:val="00E735C9"/>
    <w:rsid w:val="00E75B2F"/>
    <w:rsid w:val="00E761F9"/>
    <w:rsid w:val="00E800A2"/>
    <w:rsid w:val="00E80B44"/>
    <w:rsid w:val="00E826AE"/>
    <w:rsid w:val="00E83AAA"/>
    <w:rsid w:val="00E84AFB"/>
    <w:rsid w:val="00E851F2"/>
    <w:rsid w:val="00E862E3"/>
    <w:rsid w:val="00E8731F"/>
    <w:rsid w:val="00E90FC5"/>
    <w:rsid w:val="00E91345"/>
    <w:rsid w:val="00E930A1"/>
    <w:rsid w:val="00E931B1"/>
    <w:rsid w:val="00E9325B"/>
    <w:rsid w:val="00E936B2"/>
    <w:rsid w:val="00E93D52"/>
    <w:rsid w:val="00E9408B"/>
    <w:rsid w:val="00E943D3"/>
    <w:rsid w:val="00E94438"/>
    <w:rsid w:val="00E9568E"/>
    <w:rsid w:val="00E9697E"/>
    <w:rsid w:val="00E975C7"/>
    <w:rsid w:val="00EA461B"/>
    <w:rsid w:val="00EA5B6C"/>
    <w:rsid w:val="00EA673C"/>
    <w:rsid w:val="00EA7824"/>
    <w:rsid w:val="00EB0236"/>
    <w:rsid w:val="00EB0647"/>
    <w:rsid w:val="00EB0C2E"/>
    <w:rsid w:val="00EB1323"/>
    <w:rsid w:val="00EB2423"/>
    <w:rsid w:val="00EB39EF"/>
    <w:rsid w:val="00EB54E5"/>
    <w:rsid w:val="00EB55CF"/>
    <w:rsid w:val="00EB574A"/>
    <w:rsid w:val="00EC118F"/>
    <w:rsid w:val="00EC2686"/>
    <w:rsid w:val="00EC26F3"/>
    <w:rsid w:val="00EC293E"/>
    <w:rsid w:val="00EC2D2C"/>
    <w:rsid w:val="00EC3465"/>
    <w:rsid w:val="00EC44F1"/>
    <w:rsid w:val="00EC4A69"/>
    <w:rsid w:val="00EC5CA4"/>
    <w:rsid w:val="00EC5E8D"/>
    <w:rsid w:val="00EC6638"/>
    <w:rsid w:val="00EC6763"/>
    <w:rsid w:val="00EC6F1F"/>
    <w:rsid w:val="00EC6F33"/>
    <w:rsid w:val="00EC725F"/>
    <w:rsid w:val="00ED0009"/>
    <w:rsid w:val="00ED0C61"/>
    <w:rsid w:val="00ED2DB7"/>
    <w:rsid w:val="00ED2ECC"/>
    <w:rsid w:val="00ED2F64"/>
    <w:rsid w:val="00ED3544"/>
    <w:rsid w:val="00ED37BC"/>
    <w:rsid w:val="00ED4A20"/>
    <w:rsid w:val="00ED4F52"/>
    <w:rsid w:val="00ED64D6"/>
    <w:rsid w:val="00ED7ADC"/>
    <w:rsid w:val="00EE0B57"/>
    <w:rsid w:val="00EE31D0"/>
    <w:rsid w:val="00EE3EB5"/>
    <w:rsid w:val="00EE4927"/>
    <w:rsid w:val="00EE5CC3"/>
    <w:rsid w:val="00EE691F"/>
    <w:rsid w:val="00EE6F8F"/>
    <w:rsid w:val="00EF0AC8"/>
    <w:rsid w:val="00EF28A8"/>
    <w:rsid w:val="00EF2A7F"/>
    <w:rsid w:val="00EF477D"/>
    <w:rsid w:val="00EF4CE8"/>
    <w:rsid w:val="00EF5091"/>
    <w:rsid w:val="00EF5773"/>
    <w:rsid w:val="00EF60AB"/>
    <w:rsid w:val="00EF60D1"/>
    <w:rsid w:val="00EF6152"/>
    <w:rsid w:val="00EF729F"/>
    <w:rsid w:val="00F02DF6"/>
    <w:rsid w:val="00F03181"/>
    <w:rsid w:val="00F03767"/>
    <w:rsid w:val="00F038A8"/>
    <w:rsid w:val="00F04DF7"/>
    <w:rsid w:val="00F063D8"/>
    <w:rsid w:val="00F06D99"/>
    <w:rsid w:val="00F10010"/>
    <w:rsid w:val="00F10940"/>
    <w:rsid w:val="00F10E4B"/>
    <w:rsid w:val="00F11E40"/>
    <w:rsid w:val="00F12195"/>
    <w:rsid w:val="00F127FB"/>
    <w:rsid w:val="00F12852"/>
    <w:rsid w:val="00F12897"/>
    <w:rsid w:val="00F158DF"/>
    <w:rsid w:val="00F15E6D"/>
    <w:rsid w:val="00F1603B"/>
    <w:rsid w:val="00F16D24"/>
    <w:rsid w:val="00F16FF0"/>
    <w:rsid w:val="00F2083E"/>
    <w:rsid w:val="00F22509"/>
    <w:rsid w:val="00F225C1"/>
    <w:rsid w:val="00F23138"/>
    <w:rsid w:val="00F23E17"/>
    <w:rsid w:val="00F26064"/>
    <w:rsid w:val="00F263BE"/>
    <w:rsid w:val="00F267C1"/>
    <w:rsid w:val="00F26F28"/>
    <w:rsid w:val="00F30119"/>
    <w:rsid w:val="00F302E1"/>
    <w:rsid w:val="00F30868"/>
    <w:rsid w:val="00F323C6"/>
    <w:rsid w:val="00F32845"/>
    <w:rsid w:val="00F3298C"/>
    <w:rsid w:val="00F3300E"/>
    <w:rsid w:val="00F33407"/>
    <w:rsid w:val="00F33D83"/>
    <w:rsid w:val="00F340AC"/>
    <w:rsid w:val="00F346FA"/>
    <w:rsid w:val="00F35629"/>
    <w:rsid w:val="00F37CE9"/>
    <w:rsid w:val="00F40489"/>
    <w:rsid w:val="00F41CFB"/>
    <w:rsid w:val="00F44129"/>
    <w:rsid w:val="00F44658"/>
    <w:rsid w:val="00F44F09"/>
    <w:rsid w:val="00F47365"/>
    <w:rsid w:val="00F47E3C"/>
    <w:rsid w:val="00F50339"/>
    <w:rsid w:val="00F503B0"/>
    <w:rsid w:val="00F50DF6"/>
    <w:rsid w:val="00F51454"/>
    <w:rsid w:val="00F53194"/>
    <w:rsid w:val="00F536FB"/>
    <w:rsid w:val="00F5594A"/>
    <w:rsid w:val="00F56B44"/>
    <w:rsid w:val="00F56D49"/>
    <w:rsid w:val="00F629B2"/>
    <w:rsid w:val="00F632CC"/>
    <w:rsid w:val="00F63359"/>
    <w:rsid w:val="00F641C1"/>
    <w:rsid w:val="00F650B7"/>
    <w:rsid w:val="00F651A3"/>
    <w:rsid w:val="00F65734"/>
    <w:rsid w:val="00F669ED"/>
    <w:rsid w:val="00F66CF3"/>
    <w:rsid w:val="00F7049A"/>
    <w:rsid w:val="00F7104E"/>
    <w:rsid w:val="00F712E5"/>
    <w:rsid w:val="00F71580"/>
    <w:rsid w:val="00F71D9C"/>
    <w:rsid w:val="00F7226C"/>
    <w:rsid w:val="00F72B63"/>
    <w:rsid w:val="00F72D9B"/>
    <w:rsid w:val="00F7340A"/>
    <w:rsid w:val="00F73572"/>
    <w:rsid w:val="00F758C7"/>
    <w:rsid w:val="00F7646F"/>
    <w:rsid w:val="00F76C9E"/>
    <w:rsid w:val="00F7740E"/>
    <w:rsid w:val="00F779FB"/>
    <w:rsid w:val="00F803DB"/>
    <w:rsid w:val="00F80A29"/>
    <w:rsid w:val="00F82196"/>
    <w:rsid w:val="00F8230C"/>
    <w:rsid w:val="00F82527"/>
    <w:rsid w:val="00F82828"/>
    <w:rsid w:val="00F83750"/>
    <w:rsid w:val="00F8534C"/>
    <w:rsid w:val="00F866BF"/>
    <w:rsid w:val="00F87EAB"/>
    <w:rsid w:val="00F9094C"/>
    <w:rsid w:val="00F90BC7"/>
    <w:rsid w:val="00F90D4C"/>
    <w:rsid w:val="00F90F0D"/>
    <w:rsid w:val="00F912C9"/>
    <w:rsid w:val="00F920A8"/>
    <w:rsid w:val="00F9227A"/>
    <w:rsid w:val="00F92722"/>
    <w:rsid w:val="00F9347E"/>
    <w:rsid w:val="00F93AF0"/>
    <w:rsid w:val="00F94A1B"/>
    <w:rsid w:val="00F95CAC"/>
    <w:rsid w:val="00F95CCC"/>
    <w:rsid w:val="00F97053"/>
    <w:rsid w:val="00F970AB"/>
    <w:rsid w:val="00FA1445"/>
    <w:rsid w:val="00FA2080"/>
    <w:rsid w:val="00FA2E58"/>
    <w:rsid w:val="00FA4478"/>
    <w:rsid w:val="00FA519D"/>
    <w:rsid w:val="00FA63B0"/>
    <w:rsid w:val="00FA6415"/>
    <w:rsid w:val="00FA75A1"/>
    <w:rsid w:val="00FA788D"/>
    <w:rsid w:val="00FB2439"/>
    <w:rsid w:val="00FB4194"/>
    <w:rsid w:val="00FB549F"/>
    <w:rsid w:val="00FB704D"/>
    <w:rsid w:val="00FC0163"/>
    <w:rsid w:val="00FC2A7A"/>
    <w:rsid w:val="00FC5F50"/>
    <w:rsid w:val="00FC6A75"/>
    <w:rsid w:val="00FC791B"/>
    <w:rsid w:val="00FD03D7"/>
    <w:rsid w:val="00FD05FC"/>
    <w:rsid w:val="00FD1215"/>
    <w:rsid w:val="00FD42D7"/>
    <w:rsid w:val="00FD58A0"/>
    <w:rsid w:val="00FD5A36"/>
    <w:rsid w:val="00FD662C"/>
    <w:rsid w:val="00FE0CC2"/>
    <w:rsid w:val="00FE3196"/>
    <w:rsid w:val="00FE3339"/>
    <w:rsid w:val="00FE56B2"/>
    <w:rsid w:val="00FE5921"/>
    <w:rsid w:val="00FE656D"/>
    <w:rsid w:val="00FE6E35"/>
    <w:rsid w:val="00FE7CAC"/>
    <w:rsid w:val="00FE7DD9"/>
    <w:rsid w:val="00FF07B5"/>
    <w:rsid w:val="00FF0B7A"/>
    <w:rsid w:val="00FF0D35"/>
    <w:rsid w:val="00FF0E1A"/>
    <w:rsid w:val="00FF295B"/>
    <w:rsid w:val="00FF2B70"/>
    <w:rsid w:val="00FF2D91"/>
    <w:rsid w:val="00FF2DA9"/>
    <w:rsid w:val="00FF3EFB"/>
    <w:rsid w:val="00FF5CC4"/>
    <w:rsid w:val="00FF66CF"/>
    <w:rsid w:val="00FF7D5E"/>
    <w:rsid w:val="06DD5838"/>
    <w:rsid w:val="073728D7"/>
    <w:rsid w:val="0834196E"/>
    <w:rsid w:val="08D8204E"/>
    <w:rsid w:val="0A777CF1"/>
    <w:rsid w:val="0C086AE0"/>
    <w:rsid w:val="0FE300F8"/>
    <w:rsid w:val="19633AA3"/>
    <w:rsid w:val="19713ED4"/>
    <w:rsid w:val="1A894C14"/>
    <w:rsid w:val="1C9A38F6"/>
    <w:rsid w:val="1D40345D"/>
    <w:rsid w:val="22F60610"/>
    <w:rsid w:val="2C396A0A"/>
    <w:rsid w:val="2E6D7F83"/>
    <w:rsid w:val="2FE2293A"/>
    <w:rsid w:val="324B7A22"/>
    <w:rsid w:val="33783754"/>
    <w:rsid w:val="34E37E24"/>
    <w:rsid w:val="35CA113D"/>
    <w:rsid w:val="367A6F02"/>
    <w:rsid w:val="36AE2945"/>
    <w:rsid w:val="39F47205"/>
    <w:rsid w:val="3BDD7C55"/>
    <w:rsid w:val="41666655"/>
    <w:rsid w:val="425B2B67"/>
    <w:rsid w:val="47C86F61"/>
    <w:rsid w:val="4D843A9F"/>
    <w:rsid w:val="4E000806"/>
    <w:rsid w:val="4E885F23"/>
    <w:rsid w:val="4FC76B78"/>
    <w:rsid w:val="54544A83"/>
    <w:rsid w:val="548C6047"/>
    <w:rsid w:val="554A5987"/>
    <w:rsid w:val="586E1C9F"/>
    <w:rsid w:val="5ABC4960"/>
    <w:rsid w:val="5C703BE2"/>
    <w:rsid w:val="606D3C6E"/>
    <w:rsid w:val="62C95988"/>
    <w:rsid w:val="633A5CEA"/>
    <w:rsid w:val="64EF2C33"/>
    <w:rsid w:val="69D442DD"/>
    <w:rsid w:val="6A0926A4"/>
    <w:rsid w:val="6BC054E6"/>
    <w:rsid w:val="6DFE471D"/>
    <w:rsid w:val="71D5780A"/>
    <w:rsid w:val="72572CC0"/>
    <w:rsid w:val="75741AC9"/>
    <w:rsid w:val="77F1631A"/>
    <w:rsid w:val="7AAF2E30"/>
    <w:rsid w:val="7BCE2D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0" w:lineRule="exact"/>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adjustRightInd/>
      <w:spacing w:before="120" w:after="120" w:line="360" w:lineRule="auto"/>
      <w:outlineLvl w:val="0"/>
    </w:pPr>
    <w:rPr>
      <w:rFonts w:eastAsia="黑体"/>
      <w:bCs/>
      <w:kern w:val="44"/>
      <w:sz w:val="24"/>
      <w:szCs w:val="44"/>
    </w:rPr>
  </w:style>
  <w:style w:type="paragraph" w:styleId="3">
    <w:name w:val="heading 2"/>
    <w:basedOn w:val="1"/>
    <w:next w:val="1"/>
    <w:link w:val="189"/>
    <w:qFormat/>
    <w:uiPriority w:val="0"/>
    <w:pPr>
      <w:keepNext/>
      <w:keepLines/>
      <w:adjustRightInd/>
      <w:spacing w:line="360" w:lineRule="auto"/>
      <w:outlineLvl w:val="1"/>
    </w:pPr>
    <w:rPr>
      <w:rFonts w:eastAsia="黑体"/>
      <w:bCs/>
      <w:sz w:val="24"/>
      <w:szCs w:val="32"/>
    </w:rPr>
  </w:style>
  <w:style w:type="paragraph" w:styleId="4">
    <w:name w:val="heading 3"/>
    <w:basedOn w:val="1"/>
    <w:next w:val="1"/>
    <w:qFormat/>
    <w:uiPriority w:val="0"/>
    <w:pPr>
      <w:keepNext/>
      <w:keepLines/>
      <w:adjustRightInd/>
      <w:spacing w:before="260" w:after="260" w:line="416" w:lineRule="auto"/>
      <w:outlineLvl w:val="2"/>
    </w:pPr>
    <w:rPr>
      <w:b/>
      <w:bCs/>
      <w:sz w:val="32"/>
      <w:szCs w:val="32"/>
    </w:rPr>
  </w:style>
  <w:style w:type="paragraph" w:styleId="5">
    <w:name w:val="heading 4"/>
    <w:basedOn w:val="1"/>
    <w:next w:val="1"/>
    <w:qFormat/>
    <w:uiPriority w:val="0"/>
    <w:pPr>
      <w:keepNext/>
      <w:keepLines/>
      <w:adjustRightInd/>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spacing w:before="280" w:after="290" w:line="376" w:lineRule="auto"/>
      <w:outlineLvl w:val="4"/>
    </w:pPr>
    <w:rPr>
      <w:b/>
      <w:bCs/>
      <w:sz w:val="28"/>
      <w:szCs w:val="28"/>
    </w:rPr>
  </w:style>
  <w:style w:type="paragraph" w:styleId="7">
    <w:name w:val="heading 6"/>
    <w:basedOn w:val="1"/>
    <w:next w:val="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qFormat/>
    <w:uiPriority w:val="0"/>
    <w:pPr>
      <w:keepNext/>
      <w:keepLines/>
      <w:adjustRightInd/>
      <w:spacing w:before="240" w:after="64" w:line="320" w:lineRule="auto"/>
      <w:outlineLvl w:val="8"/>
    </w:pPr>
    <w:rPr>
      <w:rFonts w:ascii="Arial" w:hAnsi="Arial" w:eastAsia="黑体"/>
      <w:szCs w:val="21"/>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link w:val="182"/>
    <w:qFormat/>
    <w:uiPriority w:val="0"/>
  </w:style>
  <w:style w:type="paragraph" w:styleId="14">
    <w:name w:val="toc 4"/>
    <w:basedOn w:val="15"/>
    <w:next w:val="1"/>
    <w:qFormat/>
    <w:uiPriority w:val="0"/>
  </w:style>
  <w:style w:type="paragraph" w:styleId="15">
    <w:name w:val="toc 3"/>
    <w:basedOn w:val="16"/>
    <w:next w:val="1"/>
    <w:qFormat/>
    <w:uiPriority w:val="39"/>
  </w:style>
  <w:style w:type="paragraph" w:styleId="16">
    <w:name w:val="toc 2"/>
    <w:basedOn w:val="17"/>
    <w:next w:val="1"/>
    <w:qFormat/>
    <w:uiPriority w:val="39"/>
  </w:style>
  <w:style w:type="paragraph" w:styleId="17">
    <w:name w:val="toc 1"/>
    <w:next w:val="1"/>
    <w:qFormat/>
    <w:uiPriority w:val="39"/>
    <w:pPr>
      <w:spacing w:line="336" w:lineRule="auto"/>
      <w:jc w:val="both"/>
    </w:pPr>
    <w:rPr>
      <w:rFonts w:ascii="Times New Roman" w:hAnsi="Times New Roman" w:eastAsia="宋体" w:cs="Times New Roman"/>
      <w:sz w:val="24"/>
      <w:lang w:val="en-US" w:eastAsia="zh-CN" w:bidi="ar-SA"/>
    </w:rPr>
  </w:style>
  <w:style w:type="paragraph" w:styleId="18">
    <w:name w:val="caption"/>
    <w:basedOn w:val="1"/>
    <w:next w:val="1"/>
    <w:qFormat/>
    <w:uiPriority w:val="0"/>
    <w:rPr>
      <w:rFonts w:ascii="Cambria" w:hAnsi="Cambria" w:eastAsia="黑体" w:cs="黑体"/>
      <w:sz w:val="20"/>
    </w:rPr>
  </w:style>
  <w:style w:type="paragraph" w:styleId="19">
    <w:name w:val="annotation text"/>
    <w:basedOn w:val="1"/>
    <w:link w:val="180"/>
    <w:semiHidden/>
    <w:unhideWhenUsed/>
    <w:qFormat/>
    <w:uiPriority w:val="0"/>
    <w:pPr>
      <w:jc w:val="left"/>
    </w:pPr>
  </w:style>
  <w:style w:type="paragraph" w:styleId="20">
    <w:name w:val="Body Text"/>
    <w:basedOn w:val="1"/>
    <w:link w:val="188"/>
    <w:qFormat/>
    <w:uiPriority w:val="0"/>
    <w:pPr>
      <w:spacing w:after="120"/>
    </w:pPr>
  </w:style>
  <w:style w:type="paragraph" w:styleId="21">
    <w:name w:val="Block Text"/>
    <w:basedOn w:val="1"/>
    <w:qFormat/>
    <w:uiPriority w:val="0"/>
    <w:pPr>
      <w:adjustRightInd/>
      <w:spacing w:line="240" w:lineRule="auto"/>
      <w:ind w:left="-1418" w:right="-1558" w:firstLine="1418"/>
    </w:pPr>
    <w:rPr>
      <w:sz w:val="28"/>
    </w:rPr>
  </w:style>
  <w:style w:type="paragraph" w:styleId="22">
    <w:name w:val="Plain Text"/>
    <w:basedOn w:val="1"/>
    <w:link w:val="178"/>
    <w:qFormat/>
    <w:uiPriority w:val="0"/>
    <w:pPr>
      <w:adjustRightInd/>
      <w:spacing w:line="240" w:lineRule="auto"/>
    </w:pPr>
    <w:rPr>
      <w:rFonts w:ascii="宋体" w:hAnsi="Courier New" w:cs="Courier New"/>
      <w:szCs w:val="21"/>
    </w:rPr>
  </w:style>
  <w:style w:type="paragraph" w:styleId="23">
    <w:name w:val="toc 8"/>
    <w:basedOn w:val="11"/>
    <w:next w:val="1"/>
    <w:qFormat/>
    <w:uiPriority w:val="0"/>
  </w:style>
  <w:style w:type="paragraph" w:styleId="24">
    <w:name w:val="Date"/>
    <w:basedOn w:val="1"/>
    <w:next w:val="1"/>
    <w:link w:val="50"/>
    <w:qFormat/>
    <w:uiPriority w:val="0"/>
    <w:pPr>
      <w:ind w:left="100" w:leftChars="2500"/>
    </w:pPr>
  </w:style>
  <w:style w:type="paragraph" w:styleId="25">
    <w:name w:val="Balloon Text"/>
    <w:basedOn w:val="1"/>
    <w:link w:val="47"/>
    <w:qFormat/>
    <w:uiPriority w:val="0"/>
    <w:pPr>
      <w:spacing w:line="240" w:lineRule="auto"/>
    </w:pPr>
    <w:rPr>
      <w:sz w:val="18"/>
      <w:szCs w:val="18"/>
    </w:rPr>
  </w:style>
  <w:style w:type="paragraph" w:styleId="26">
    <w:name w:val="footer"/>
    <w:basedOn w:val="1"/>
    <w:link w:val="56"/>
    <w:qFormat/>
    <w:uiPriority w:val="99"/>
    <w:pPr>
      <w:tabs>
        <w:tab w:val="center" w:pos="4153"/>
        <w:tab w:val="right" w:pos="8306"/>
      </w:tabs>
      <w:adjustRightInd/>
      <w:snapToGrid w:val="0"/>
      <w:spacing w:line="240" w:lineRule="auto"/>
      <w:jc w:val="right"/>
    </w:pPr>
    <w:rPr>
      <w:rFonts w:ascii="宋体"/>
      <w:sz w:val="18"/>
      <w:szCs w:val="18"/>
    </w:rPr>
  </w:style>
  <w:style w:type="paragraph" w:styleId="27">
    <w:name w:val="header"/>
    <w:basedOn w:val="1"/>
    <w:qFormat/>
    <w:uiPriority w:val="0"/>
    <w:pPr>
      <w:tabs>
        <w:tab w:val="center" w:pos="4153"/>
        <w:tab w:val="right" w:pos="8306"/>
      </w:tabs>
      <w:adjustRightInd/>
      <w:snapToGrid w:val="0"/>
      <w:jc w:val="center"/>
    </w:pPr>
    <w:rPr>
      <w:sz w:val="18"/>
      <w:szCs w:val="18"/>
    </w:rPr>
  </w:style>
  <w:style w:type="paragraph" w:styleId="28">
    <w:name w:val="footnote text"/>
    <w:basedOn w:val="1"/>
    <w:next w:val="29"/>
    <w:qFormat/>
    <w:uiPriority w:val="0"/>
    <w:pPr>
      <w:adjustRightInd/>
      <w:snapToGrid w:val="0"/>
      <w:spacing w:line="300" w:lineRule="auto"/>
      <w:ind w:left="400" w:leftChars="200" w:hanging="200" w:hangingChars="200"/>
      <w:jc w:val="left"/>
    </w:pPr>
    <w:rPr>
      <w:rFonts w:ascii="仿宋_GB2312" w:hAnsi="仿宋_GB2312" w:eastAsia="仿宋_GB2312" w:cs="仿宋_GB2312"/>
      <w:sz w:val="18"/>
      <w:szCs w:val="18"/>
    </w:rPr>
  </w:style>
  <w:style w:type="paragraph" w:customStyle="1" w:styleId="29">
    <w:name w:val="脚注后续"/>
    <w:qFormat/>
    <w:uiPriority w:val="0"/>
    <w:pPr>
      <w:ind w:left="350" w:leftChars="350"/>
      <w:jc w:val="both"/>
    </w:pPr>
    <w:rPr>
      <w:rFonts w:ascii="宋体" w:hAnsi="Times New Roman" w:eastAsia="宋体" w:cs="Times New Roman"/>
      <w:sz w:val="18"/>
      <w:lang w:val="en-US" w:eastAsia="zh-CN" w:bidi="ar-SA"/>
    </w:rPr>
  </w:style>
  <w:style w:type="paragraph" w:styleId="30">
    <w:name w:val="toc 9"/>
    <w:basedOn w:val="23"/>
    <w:next w:val="1"/>
    <w:qFormat/>
    <w:uiPriority w:val="0"/>
  </w:style>
  <w:style w:type="paragraph" w:styleId="31">
    <w:name w:val="Normal (Web)"/>
    <w:basedOn w:val="1"/>
    <w:qFormat/>
    <w:uiPriority w:val="0"/>
    <w:pPr>
      <w:spacing w:beforeAutospacing="1" w:afterAutospacing="1"/>
      <w:jc w:val="left"/>
    </w:pPr>
    <w:rPr>
      <w:kern w:val="0"/>
      <w:sz w:val="24"/>
    </w:rPr>
  </w:style>
  <w:style w:type="paragraph" w:styleId="32">
    <w:name w:val="Title"/>
    <w:basedOn w:val="1"/>
    <w:qFormat/>
    <w:uiPriority w:val="0"/>
    <w:pPr>
      <w:adjustRightInd/>
      <w:spacing w:before="240" w:after="60"/>
      <w:jc w:val="center"/>
      <w:outlineLvl w:val="0"/>
    </w:pPr>
    <w:rPr>
      <w:rFonts w:ascii="Arial" w:hAnsi="Arial" w:cs="Arial"/>
      <w:b/>
      <w:bCs/>
      <w:sz w:val="32"/>
      <w:szCs w:val="32"/>
    </w:rPr>
  </w:style>
  <w:style w:type="paragraph" w:styleId="33">
    <w:name w:val="annotation subject"/>
    <w:basedOn w:val="19"/>
    <w:next w:val="19"/>
    <w:link w:val="181"/>
    <w:semiHidden/>
    <w:unhideWhenUsed/>
    <w:qFormat/>
    <w:uiPriority w:val="0"/>
    <w:rPr>
      <w:b/>
      <w:bCs/>
    </w:rPr>
  </w:style>
  <w:style w:type="table" w:styleId="35">
    <w:name w:val="Table Grid"/>
    <w:basedOn w:val="34"/>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page number"/>
    <w:basedOn w:val="36"/>
    <w:qFormat/>
    <w:uiPriority w:val="0"/>
    <w:rPr>
      <w:rFonts w:ascii="宋体" w:hAnsi="Times New Roman" w:eastAsia="宋体" w:cs="Times New Roman"/>
      <w:sz w:val="18"/>
    </w:rPr>
  </w:style>
  <w:style w:type="character" w:styleId="38">
    <w:name w:val="Emphasis"/>
    <w:basedOn w:val="36"/>
    <w:qFormat/>
    <w:uiPriority w:val="0"/>
    <w:rPr>
      <w:color w:val="CC0000"/>
    </w:rPr>
  </w:style>
  <w:style w:type="character" w:styleId="39">
    <w:name w:val="Hyperlink"/>
    <w:basedOn w:val="36"/>
    <w:qFormat/>
    <w:uiPriority w:val="99"/>
    <w:rPr>
      <w:rFonts w:ascii="Times New Roman" w:hAnsi="Times New Roman" w:eastAsia="宋体"/>
      <w:color w:val="auto"/>
      <w:spacing w:val="0"/>
      <w:w w:val="100"/>
      <w:position w:val="0"/>
      <w:sz w:val="21"/>
      <w:u w:val="none"/>
      <w:vertAlign w:val="baseline"/>
    </w:rPr>
  </w:style>
  <w:style w:type="character" w:styleId="40">
    <w:name w:val="annotation reference"/>
    <w:basedOn w:val="36"/>
    <w:semiHidden/>
    <w:unhideWhenUsed/>
    <w:qFormat/>
    <w:uiPriority w:val="0"/>
    <w:rPr>
      <w:sz w:val="21"/>
      <w:szCs w:val="21"/>
    </w:rPr>
  </w:style>
  <w:style w:type="character" w:styleId="41">
    <w:name w:val="footnote reference"/>
    <w:basedOn w:val="36"/>
    <w:qFormat/>
    <w:uiPriority w:val="0"/>
    <w:rPr>
      <w:rFonts w:ascii="宋体" w:eastAsia="宋体"/>
      <w:sz w:val="18"/>
      <w:vertAlign w:val="superscript"/>
    </w:rPr>
  </w:style>
  <w:style w:type="character" w:customStyle="1" w:styleId="42">
    <w:name w:val="标题 8 字符"/>
    <w:basedOn w:val="36"/>
    <w:link w:val="9"/>
    <w:qFormat/>
    <w:uiPriority w:val="0"/>
    <w:rPr>
      <w:rFonts w:ascii="Arial" w:hAnsi="Arial" w:eastAsia="黑体"/>
      <w:kern w:val="2"/>
      <w:sz w:val="24"/>
      <w:szCs w:val="24"/>
      <w:lang w:val="en-US" w:eastAsia="zh-CN" w:bidi="ar-SA"/>
    </w:rPr>
  </w:style>
  <w:style w:type="character" w:customStyle="1" w:styleId="43">
    <w:name w:val="规程英文名称"/>
    <w:basedOn w:val="36"/>
    <w:qFormat/>
    <w:uiPriority w:val="0"/>
    <w:rPr>
      <w:rFonts w:ascii="Times New Roman" w:hAnsi="Times New Roman" w:eastAsia="Times New Roman"/>
      <w:sz w:val="28"/>
    </w:rPr>
  </w:style>
  <w:style w:type="character" w:customStyle="1" w:styleId="44">
    <w:name w:val="四号宋体加粗"/>
    <w:basedOn w:val="36"/>
    <w:qFormat/>
    <w:uiPriority w:val="0"/>
    <w:rPr>
      <w:rFonts w:eastAsia="宋体"/>
      <w:b/>
      <w:sz w:val="28"/>
    </w:rPr>
  </w:style>
  <w:style w:type="character" w:customStyle="1" w:styleId="45">
    <w:name w:val="EmailStyle67"/>
    <w:basedOn w:val="36"/>
    <w:qFormat/>
    <w:uiPriority w:val="0"/>
    <w:rPr>
      <w:rFonts w:ascii="Arial" w:hAnsi="Arial" w:eastAsia="宋体" w:cs="Arial"/>
      <w:color w:val="auto"/>
      <w:sz w:val="20"/>
    </w:rPr>
  </w:style>
  <w:style w:type="character" w:customStyle="1" w:styleId="46">
    <w:name w:val="页码1"/>
    <w:basedOn w:val="36"/>
    <w:qFormat/>
    <w:uiPriority w:val="0"/>
    <w:rPr>
      <w:rFonts w:ascii="宋体" w:hAnsi="Times New Roman" w:eastAsia="宋体"/>
      <w:sz w:val="18"/>
    </w:rPr>
  </w:style>
  <w:style w:type="character" w:customStyle="1" w:styleId="47">
    <w:name w:val="批注框文本 字符"/>
    <w:basedOn w:val="36"/>
    <w:link w:val="25"/>
    <w:qFormat/>
    <w:uiPriority w:val="0"/>
    <w:rPr>
      <w:kern w:val="2"/>
      <w:sz w:val="18"/>
      <w:szCs w:val="18"/>
    </w:rPr>
  </w:style>
  <w:style w:type="character" w:customStyle="1" w:styleId="48">
    <w:name w:val="规程中文名称（标题）"/>
    <w:basedOn w:val="36"/>
    <w:qFormat/>
    <w:uiPriority w:val="0"/>
    <w:rPr>
      <w:rFonts w:eastAsia="黑体"/>
      <w:b/>
      <w:sz w:val="52"/>
    </w:rPr>
  </w:style>
  <w:style w:type="character" w:customStyle="1" w:styleId="49">
    <w:name w:val="发布"/>
    <w:basedOn w:val="36"/>
    <w:qFormat/>
    <w:uiPriority w:val="0"/>
    <w:rPr>
      <w:rFonts w:ascii="黑体" w:hAnsi="黑体" w:eastAsia="黑体"/>
      <w:sz w:val="28"/>
    </w:rPr>
  </w:style>
  <w:style w:type="character" w:customStyle="1" w:styleId="50">
    <w:name w:val="日期 字符"/>
    <w:basedOn w:val="36"/>
    <w:link w:val="24"/>
    <w:qFormat/>
    <w:uiPriority w:val="0"/>
    <w:rPr>
      <w:kern w:val="2"/>
      <w:sz w:val="21"/>
    </w:rPr>
  </w:style>
  <w:style w:type="character" w:customStyle="1" w:styleId="51">
    <w:name w:val="四号宋体"/>
    <w:basedOn w:val="36"/>
    <w:qFormat/>
    <w:uiPriority w:val="0"/>
    <w:rPr>
      <w:rFonts w:eastAsia="宋体"/>
      <w:sz w:val="28"/>
    </w:rPr>
  </w:style>
  <w:style w:type="character" w:customStyle="1" w:styleId="52">
    <w:name w:val="标准文件_图表脚注内容"/>
    <w:basedOn w:val="41"/>
    <w:qFormat/>
    <w:uiPriority w:val="0"/>
    <w:rPr>
      <w:rFonts w:ascii="宋体" w:eastAsia="宋体"/>
      <w:spacing w:val="200"/>
      <w:sz w:val="18"/>
      <w:vertAlign w:val="superscript"/>
    </w:rPr>
  </w:style>
  <w:style w:type="character" w:customStyle="1" w:styleId="53">
    <w:name w:val="规程编号"/>
    <w:basedOn w:val="36"/>
    <w:qFormat/>
    <w:uiPriority w:val="0"/>
    <w:rPr>
      <w:rFonts w:ascii="Times New Roman" w:hAnsi="Times New Roman"/>
      <w:b/>
      <w:color w:val="auto"/>
      <w:sz w:val="30"/>
    </w:rPr>
  </w:style>
  <w:style w:type="character" w:customStyle="1" w:styleId="54">
    <w:name w:val="规程中文名称"/>
    <w:basedOn w:val="36"/>
    <w:qFormat/>
    <w:uiPriority w:val="0"/>
    <w:rPr>
      <w:rFonts w:eastAsia="黑体"/>
      <w:sz w:val="44"/>
    </w:rPr>
  </w:style>
  <w:style w:type="character" w:customStyle="1" w:styleId="55">
    <w:name w:val="三号宋体"/>
    <w:basedOn w:val="36"/>
    <w:qFormat/>
    <w:uiPriority w:val="0"/>
    <w:rPr>
      <w:rFonts w:ascii="Times New Roman" w:hAnsi="Times New Roman" w:eastAsia="宋体"/>
      <w:sz w:val="32"/>
    </w:rPr>
  </w:style>
  <w:style w:type="character" w:customStyle="1" w:styleId="56">
    <w:name w:val="页脚 字符"/>
    <w:basedOn w:val="36"/>
    <w:link w:val="26"/>
    <w:qFormat/>
    <w:uiPriority w:val="99"/>
    <w:rPr>
      <w:rFonts w:ascii="宋体"/>
      <w:kern w:val="2"/>
      <w:sz w:val="18"/>
      <w:szCs w:val="18"/>
    </w:rPr>
  </w:style>
  <w:style w:type="character" w:customStyle="1" w:styleId="57">
    <w:name w:val="EmailStyle68"/>
    <w:basedOn w:val="36"/>
    <w:qFormat/>
    <w:uiPriority w:val="0"/>
    <w:rPr>
      <w:rFonts w:ascii="Arial" w:hAnsi="Arial" w:eastAsia="宋体" w:cs="Arial"/>
      <w:color w:val="auto"/>
      <w:sz w:val="20"/>
    </w:rPr>
  </w:style>
  <w:style w:type="character" w:customStyle="1" w:styleId="58">
    <w:name w:val="规程编号（页眉）"/>
    <w:basedOn w:val="36"/>
    <w:qFormat/>
    <w:uiPriority w:val="0"/>
    <w:rPr>
      <w:rFonts w:ascii="Times New Roman" w:hAnsi="Times New Roman" w:eastAsia="Times New Roman"/>
      <w:b/>
      <w:sz w:val="21"/>
    </w:rPr>
  </w:style>
  <w:style w:type="character" w:customStyle="1" w:styleId="59">
    <w:name w:val="纯文本 Char"/>
    <w:basedOn w:val="36"/>
    <w:link w:val="60"/>
    <w:qFormat/>
    <w:uiPriority w:val="0"/>
    <w:rPr>
      <w:rFonts w:ascii="宋体" w:hAnsi="Courier New" w:cs="Courier New"/>
      <w:kern w:val="2"/>
      <w:sz w:val="21"/>
      <w:szCs w:val="21"/>
    </w:rPr>
  </w:style>
  <w:style w:type="paragraph" w:customStyle="1" w:styleId="60">
    <w:name w:val="纯文本1"/>
    <w:basedOn w:val="1"/>
    <w:link w:val="59"/>
    <w:qFormat/>
    <w:uiPriority w:val="0"/>
    <w:pPr>
      <w:adjustRightInd/>
      <w:spacing w:line="240" w:lineRule="auto"/>
    </w:pPr>
    <w:rPr>
      <w:rFonts w:ascii="宋体" w:hAnsi="Courier New" w:cs="Courier New"/>
      <w:szCs w:val="21"/>
    </w:rPr>
  </w:style>
  <w:style w:type="character" w:customStyle="1" w:styleId="61">
    <w:name w:val="三号黑体"/>
    <w:basedOn w:val="36"/>
    <w:qFormat/>
    <w:uiPriority w:val="0"/>
    <w:rPr>
      <w:rFonts w:eastAsia="黑体"/>
      <w:sz w:val="32"/>
    </w:rPr>
  </w:style>
  <w:style w:type="character" w:customStyle="1" w:styleId="62">
    <w:name w:val="四号黑体加粗"/>
    <w:basedOn w:val="36"/>
    <w:qFormat/>
    <w:uiPriority w:val="0"/>
    <w:rPr>
      <w:rFonts w:eastAsia="黑体"/>
      <w:b/>
      <w:sz w:val="28"/>
    </w:rPr>
  </w:style>
  <w:style w:type="character" w:customStyle="1" w:styleId="63">
    <w:name w:val="标准文件_发布"/>
    <w:basedOn w:val="36"/>
    <w:qFormat/>
    <w:uiPriority w:val="0"/>
    <w:rPr>
      <w:rFonts w:ascii="黑体" w:eastAsia="黑体"/>
      <w:spacing w:val="22"/>
      <w:w w:val="100"/>
      <w:position w:val="3"/>
      <w:sz w:val="28"/>
    </w:rPr>
  </w:style>
  <w:style w:type="character" w:customStyle="1" w:styleId="64">
    <w:name w:val="四号黑体"/>
    <w:basedOn w:val="36"/>
    <w:qFormat/>
    <w:uiPriority w:val="0"/>
    <w:rPr>
      <w:rFonts w:eastAsia="黑体"/>
      <w:sz w:val="28"/>
    </w:rPr>
  </w:style>
  <w:style w:type="character" w:customStyle="1" w:styleId="65">
    <w:name w:val="国防军工计量检定规程"/>
    <w:basedOn w:val="66"/>
    <w:qFormat/>
    <w:uiPriority w:val="0"/>
    <w:rPr>
      <w:rFonts w:eastAsia="华文中宋"/>
      <w:spacing w:val="5"/>
      <w:sz w:val="68"/>
    </w:rPr>
  </w:style>
  <w:style w:type="character" w:customStyle="1" w:styleId="66">
    <w:name w:val="书籍标题1"/>
    <w:basedOn w:val="36"/>
    <w:qFormat/>
    <w:uiPriority w:val="0"/>
    <w:rPr>
      <w:b/>
      <w:bCs/>
      <w:smallCaps/>
      <w:spacing w:val="5"/>
    </w:rPr>
  </w:style>
  <w:style w:type="character" w:customStyle="1" w:styleId="67">
    <w:name w:val="规程英文名称（标题）"/>
    <w:basedOn w:val="36"/>
    <w:qFormat/>
    <w:uiPriority w:val="0"/>
    <w:rPr>
      <w:rFonts w:ascii="Times New Roman" w:hAnsi="Times New Roman" w:eastAsia="Times New Roman"/>
      <w:b/>
      <w:sz w:val="28"/>
    </w:rPr>
  </w:style>
  <w:style w:type="character" w:customStyle="1" w:styleId="68">
    <w:name w:val="扉页1"/>
    <w:basedOn w:val="36"/>
    <w:qFormat/>
    <w:uiPriority w:val="0"/>
    <w:rPr>
      <w:rFonts w:ascii="Times New Roman" w:hAnsi="Times New Roman" w:eastAsia="宋体"/>
      <w:sz w:val="28"/>
    </w:rPr>
  </w:style>
  <w:style w:type="character" w:customStyle="1" w:styleId="69">
    <w:name w:val="占位符文本1"/>
    <w:basedOn w:val="36"/>
    <w:qFormat/>
    <w:uiPriority w:val="0"/>
    <w:rPr>
      <w:color w:val="808080"/>
    </w:rPr>
  </w:style>
  <w:style w:type="paragraph" w:customStyle="1" w:styleId="70">
    <w:name w:val="标准文件_附录一级条标题"/>
    <w:basedOn w:val="71"/>
    <w:next w:val="72"/>
    <w:qFormat/>
    <w:uiPriority w:val="0"/>
    <w:pPr>
      <w:autoSpaceDN w:val="0"/>
      <w:ind w:left="-50"/>
      <w:outlineLvl w:val="2"/>
    </w:pPr>
    <w:rPr>
      <w:spacing w:val="2"/>
    </w:rPr>
  </w:style>
  <w:style w:type="paragraph" w:customStyle="1" w:styleId="71">
    <w:name w:val="标准文件_附录章标题"/>
    <w:next w:val="72"/>
    <w:qFormat/>
    <w:uiPriority w:val="0"/>
    <w:pPr>
      <w:wordWrap w:val="0"/>
      <w:overflowPunct w:val="0"/>
      <w:autoSpaceDE w:val="0"/>
      <w:spacing w:beforeLines="50"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72">
    <w:name w:val="标准文件_段"/>
    <w:qFormat/>
    <w:uiPriority w:val="0"/>
    <w:pPr>
      <w:autoSpaceDE w:val="0"/>
      <w:autoSpaceDN w:val="0"/>
      <w:spacing w:line="360" w:lineRule="auto"/>
      <w:ind w:firstLine="560" w:firstLineChars="200"/>
    </w:pPr>
    <w:rPr>
      <w:rFonts w:ascii="Times New Roman" w:hAnsi="Times New Roman" w:eastAsia="黑体" w:cs="Times New Roman"/>
      <w:spacing w:val="2"/>
      <w:sz w:val="24"/>
      <w:szCs w:val="24"/>
      <w:lang w:val="en-US" w:eastAsia="zh-CN" w:bidi="ar-SA"/>
    </w:rPr>
  </w:style>
  <w:style w:type="paragraph" w:customStyle="1" w:styleId="73">
    <w:name w:val="标准文件_前言、引言标题"/>
    <w:next w:val="1"/>
    <w:qFormat/>
    <w:uiPriority w:val="0"/>
    <w:pPr>
      <w:shd w:val="clear" w:color="FFFFFF" w:fill="FFFFFF"/>
      <w:spacing w:before="567" w:after="680"/>
      <w:jc w:val="center"/>
      <w:outlineLvl w:val="0"/>
    </w:pPr>
    <w:rPr>
      <w:rFonts w:ascii="黑体" w:hAnsi="Times New Roman" w:eastAsia="黑体" w:cs="Times New Roman"/>
      <w:spacing w:val="200"/>
      <w:sz w:val="32"/>
      <w:lang w:val="en-US" w:eastAsia="zh-CN" w:bidi="ar-SA"/>
    </w:rPr>
  </w:style>
  <w:style w:type="paragraph" w:customStyle="1" w:styleId="74">
    <w:name w:val="无标题条"/>
    <w:next w:val="72"/>
    <w:qFormat/>
    <w:uiPriority w:val="0"/>
    <w:pPr>
      <w:jc w:val="both"/>
    </w:pPr>
    <w:rPr>
      <w:rFonts w:ascii="Times New Roman" w:hAnsi="Times New Roman" w:eastAsia="宋体" w:cs="Times New Roman"/>
      <w:sz w:val="21"/>
      <w:lang w:val="en-US" w:eastAsia="zh-CN" w:bidi="ar-SA"/>
    </w:rPr>
  </w:style>
  <w:style w:type="paragraph" w:customStyle="1" w:styleId="75">
    <w:name w:val="发布部门"/>
    <w:next w:val="72"/>
    <w:qFormat/>
    <w:uiPriority w:val="0"/>
    <w:pPr>
      <w:jc w:val="center"/>
    </w:pPr>
    <w:rPr>
      <w:rFonts w:ascii="宋体" w:hAnsi="Times New Roman" w:eastAsia="宋体" w:cs="Times New Roman"/>
      <w:b/>
      <w:spacing w:val="20"/>
      <w:w w:val="135"/>
      <w:sz w:val="36"/>
      <w:lang w:val="en-US" w:eastAsia="zh-CN" w:bidi="ar-SA"/>
    </w:rPr>
  </w:style>
  <w:style w:type="paragraph" w:customStyle="1" w:styleId="76">
    <w:name w:val="标准文件_一致程度"/>
    <w:basedOn w:val="1"/>
    <w:qFormat/>
    <w:uiPriority w:val="0"/>
    <w:pPr>
      <w:spacing w:line="440" w:lineRule="exact"/>
      <w:jc w:val="center"/>
    </w:pPr>
    <w:rPr>
      <w:sz w:val="28"/>
    </w:rPr>
  </w:style>
  <w:style w:type="paragraph" w:customStyle="1" w:styleId="77">
    <w:name w:val="标准文件_注："/>
    <w:next w:val="72"/>
    <w:qFormat/>
    <w:uiPriority w:val="0"/>
    <w:pPr>
      <w:widowControl w:val="0"/>
      <w:tabs>
        <w:tab w:val="left" w:pos="1140"/>
      </w:tabs>
      <w:autoSpaceDE w:val="0"/>
      <w:autoSpaceDN w:val="0"/>
      <w:spacing w:afterLines="30" w:line="300" w:lineRule="exact"/>
      <w:ind w:left="513" w:leftChars="150" w:right="-50" w:rightChars="-50" w:hanging="363"/>
      <w:jc w:val="both"/>
    </w:pPr>
    <w:rPr>
      <w:rFonts w:ascii="宋体" w:hAnsi="Times New Roman" w:eastAsia="宋体" w:cs="Times New Roman"/>
      <w:sz w:val="18"/>
      <w:lang w:val="en-US" w:eastAsia="zh-CN" w:bidi="ar-SA"/>
    </w:rPr>
  </w:style>
  <w:style w:type="paragraph" w:customStyle="1" w:styleId="7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79">
    <w:name w:val="五级无标题条"/>
    <w:basedOn w:val="1"/>
    <w:qFormat/>
    <w:uiPriority w:val="0"/>
    <w:pPr>
      <w:adjustRightInd/>
    </w:pPr>
    <w:rPr>
      <w:szCs w:val="24"/>
    </w:rPr>
  </w:style>
  <w:style w:type="paragraph" w:customStyle="1" w:styleId="80">
    <w:name w:val="标准文件_正文图标题"/>
    <w:next w:val="72"/>
    <w:qFormat/>
    <w:uiPriority w:val="0"/>
    <w:pPr>
      <w:spacing w:beforeLines="25" w:afterLines="50" w:line="300" w:lineRule="auto"/>
      <w:jc w:val="center"/>
    </w:pPr>
    <w:rPr>
      <w:rFonts w:ascii="Times New Roman" w:hAnsi="Times New Roman" w:eastAsia="黑体" w:cs="Times New Roman"/>
      <w:sz w:val="21"/>
      <w:lang w:val="en-US" w:eastAsia="zh-CN" w:bidi="ar-SA"/>
    </w:rPr>
  </w:style>
  <w:style w:type="paragraph" w:customStyle="1" w:styleId="81">
    <w:name w:val="标准文件_附录图标题"/>
    <w:next w:val="72"/>
    <w:qFormat/>
    <w:uiPriority w:val="0"/>
    <w:pPr>
      <w:jc w:val="center"/>
    </w:pPr>
    <w:rPr>
      <w:rFonts w:ascii="黑体" w:hAnsi="Times New Roman" w:eastAsia="黑体" w:cs="Times New Roman"/>
      <w:sz w:val="21"/>
      <w:lang w:val="en-US" w:eastAsia="zh-CN" w:bidi="ar-SA"/>
    </w:rPr>
  </w:style>
  <w:style w:type="paragraph" w:customStyle="1" w:styleId="8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83">
    <w:name w:val="标准文件_附录表标题"/>
    <w:next w:val="72"/>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84">
    <w:name w:val="标准文件_一级条标题"/>
    <w:basedOn w:val="85"/>
    <w:next w:val="72"/>
    <w:qFormat/>
    <w:uiPriority w:val="0"/>
    <w:pPr>
      <w:ind w:left="284"/>
      <w:outlineLvl w:val="2"/>
    </w:pPr>
  </w:style>
  <w:style w:type="paragraph" w:customStyle="1" w:styleId="85">
    <w:name w:val="标准文件_章标题"/>
    <w:next w:val="72"/>
    <w:qFormat/>
    <w:uiPriority w:val="0"/>
    <w:pPr>
      <w:spacing w:beforeLines="50" w:afterLines="50"/>
      <w:ind w:left="993" w:right="-50" w:rightChars="-50"/>
      <w:jc w:val="both"/>
      <w:outlineLvl w:val="1"/>
    </w:pPr>
    <w:rPr>
      <w:rFonts w:ascii="黑体" w:hAnsi="Times New Roman" w:eastAsia="黑体" w:cs="Times New Roman"/>
      <w:spacing w:val="2"/>
      <w:sz w:val="21"/>
      <w:lang w:val="en-US" w:eastAsia="zh-CN" w:bidi="ar-SA"/>
    </w:rPr>
  </w:style>
  <w:style w:type="paragraph" w:customStyle="1" w:styleId="86">
    <w:name w:val="样式 标准文件_标准正文 + +中文正文 小二 加粗"/>
    <w:basedOn w:val="87"/>
    <w:qFormat/>
    <w:uiPriority w:val="0"/>
    <w:rPr>
      <w:rFonts w:ascii="宋体" w:hAnsi="宋体"/>
      <w:b/>
      <w:bCs/>
      <w:sz w:val="36"/>
    </w:rPr>
  </w:style>
  <w:style w:type="paragraph" w:customStyle="1" w:styleId="87">
    <w:name w:val="标准文件_标准正文"/>
    <w:basedOn w:val="1"/>
    <w:next w:val="72"/>
    <w:qFormat/>
    <w:uiPriority w:val="0"/>
    <w:pPr>
      <w:snapToGrid w:val="0"/>
      <w:spacing w:beforeLines="150" w:line="240" w:lineRule="auto"/>
      <w:ind w:right="567" w:rightChars="270"/>
      <w:jc w:val="right"/>
    </w:pPr>
    <w:rPr>
      <w:spacing w:val="2"/>
      <w:kern w:val="0"/>
      <w:sz w:val="45"/>
    </w:rPr>
  </w:style>
  <w:style w:type="paragraph" w:customStyle="1" w:styleId="88">
    <w:name w:val="标准文件_破折号列项"/>
    <w:qFormat/>
    <w:uiPriority w:val="0"/>
    <w:pPr>
      <w:adjustRightInd w:val="0"/>
      <w:snapToGrid w:val="0"/>
      <w:spacing w:line="300" w:lineRule="exact"/>
      <w:ind w:left="350" w:leftChars="150" w:right="-50" w:rightChars="-50" w:hanging="200" w:hangingChars="200"/>
    </w:pPr>
    <w:rPr>
      <w:rFonts w:ascii="Times New Roman" w:hAnsi="Times New Roman" w:eastAsia="宋体" w:cs="Times New Roman"/>
      <w:sz w:val="21"/>
      <w:lang w:val="en-US" w:eastAsia="zh-CN" w:bidi="ar-SA"/>
    </w:rPr>
  </w:style>
  <w:style w:type="paragraph" w:customStyle="1" w:styleId="8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9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2">
    <w:name w:val="三级无标题条"/>
    <w:basedOn w:val="1"/>
    <w:qFormat/>
    <w:uiPriority w:val="0"/>
    <w:pPr>
      <w:adjustRightInd/>
    </w:pPr>
    <w:rPr>
      <w:szCs w:val="24"/>
    </w:rPr>
  </w:style>
  <w:style w:type="paragraph" w:customStyle="1" w:styleId="93">
    <w:name w:val="标准文件_附录二级条标题"/>
    <w:basedOn w:val="70"/>
    <w:next w:val="72"/>
    <w:qFormat/>
    <w:uiPriority w:val="0"/>
    <w:pPr>
      <w:outlineLvl w:val="3"/>
    </w:pPr>
  </w:style>
  <w:style w:type="paragraph" w:customStyle="1" w:styleId="94">
    <w:name w:val="图表目录1"/>
    <w:basedOn w:val="1"/>
    <w:next w:val="1"/>
    <w:qFormat/>
    <w:uiPriority w:val="0"/>
    <w:pPr>
      <w:adjustRightInd/>
      <w:spacing w:line="240" w:lineRule="auto"/>
      <w:ind w:left="420" w:hanging="420"/>
      <w:jc w:val="left"/>
    </w:pPr>
    <w:rPr>
      <w:caps/>
      <w:szCs w:val="24"/>
    </w:rPr>
  </w:style>
  <w:style w:type="paragraph" w:customStyle="1" w:styleId="95">
    <w:name w:val="标准文件_附录三级条标题"/>
    <w:basedOn w:val="93"/>
    <w:next w:val="72"/>
    <w:qFormat/>
    <w:uiPriority w:val="0"/>
    <w:pPr>
      <w:outlineLvl w:val="4"/>
    </w:pPr>
  </w:style>
  <w:style w:type="paragraph" w:customStyle="1" w:styleId="96">
    <w:name w:val="标准文件_目次、标准名称标题"/>
    <w:basedOn w:val="73"/>
    <w:next w:val="72"/>
    <w:qFormat/>
    <w:uiPriority w:val="0"/>
    <w:pPr>
      <w:spacing w:before="540" w:after="600" w:line="460" w:lineRule="exact"/>
    </w:pPr>
    <w:rPr>
      <w:spacing w:val="0"/>
    </w:rPr>
  </w:style>
  <w:style w:type="paragraph" w:customStyle="1" w:styleId="97">
    <w:name w:val="标准文件_封面标准分类号"/>
    <w:basedOn w:val="1"/>
    <w:qFormat/>
    <w:uiPriority w:val="0"/>
    <w:rPr>
      <w:rFonts w:ascii="黑体" w:eastAsia="黑体"/>
      <w:kern w:val="0"/>
      <w:sz w:val="28"/>
    </w:rPr>
  </w:style>
  <w:style w:type="paragraph" w:customStyle="1" w:styleId="98">
    <w:name w:val="标准文件_注×："/>
    <w:next w:val="72"/>
    <w:qFormat/>
    <w:uiPriority w:val="0"/>
    <w:pPr>
      <w:widowControl w:val="0"/>
      <w:tabs>
        <w:tab w:val="left" w:pos="525"/>
      </w:tabs>
      <w:autoSpaceDE w:val="0"/>
      <w:autoSpaceDN w:val="0"/>
      <w:spacing w:afterLines="30" w:line="300" w:lineRule="exact"/>
      <w:ind w:left="649" w:leftChars="150" w:right="-50" w:rightChars="-50" w:hanging="499"/>
      <w:jc w:val="both"/>
    </w:pPr>
    <w:rPr>
      <w:rFonts w:ascii="宋体" w:hAnsi="Times New Roman" w:eastAsia="宋体" w:cs="Times New Roman"/>
      <w:sz w:val="18"/>
      <w:lang w:val="en-US" w:eastAsia="zh-CN" w:bidi="ar-SA"/>
    </w:rPr>
  </w:style>
  <w:style w:type="paragraph" w:customStyle="1" w:styleId="99">
    <w:name w:val="标准文件_封面实施日期"/>
    <w:basedOn w:val="1"/>
    <w:qFormat/>
    <w:uiPriority w:val="0"/>
    <w:pPr>
      <w:jc w:val="right"/>
    </w:pPr>
    <w:rPr>
      <w:rFonts w:ascii="黑体" w:eastAsia="黑体"/>
      <w:sz w:val="28"/>
    </w:rPr>
  </w:style>
  <w:style w:type="paragraph" w:customStyle="1" w:styleId="100">
    <w:name w:val="其他发布部门"/>
    <w:basedOn w:val="75"/>
    <w:qFormat/>
    <w:uiPriority w:val="0"/>
    <w:pPr>
      <w:spacing w:line="0" w:lineRule="atLeast"/>
    </w:pPr>
    <w:rPr>
      <w:rFonts w:ascii="黑体" w:eastAsia="黑体"/>
      <w:b w:val="0"/>
    </w:rPr>
  </w:style>
  <w:style w:type="paragraph" w:customStyle="1" w:styleId="101">
    <w:name w:val="标准文件_二级条标题"/>
    <w:basedOn w:val="84"/>
    <w:next w:val="72"/>
    <w:qFormat/>
    <w:uiPriority w:val="0"/>
    <w:pPr>
      <w:outlineLvl w:val="3"/>
    </w:pPr>
  </w:style>
  <w:style w:type="paragraph" w:customStyle="1" w:styleId="102">
    <w:name w:val="标准文件_数字编号列项"/>
    <w:qFormat/>
    <w:uiPriority w:val="0"/>
    <w:pPr>
      <w:ind w:left="550" w:leftChars="350" w:right="-50" w:rightChars="-50" w:hanging="200" w:hangingChars="200"/>
      <w:jc w:val="both"/>
    </w:pPr>
    <w:rPr>
      <w:rFonts w:ascii="宋体" w:hAnsi="Times New Roman" w:eastAsia="宋体" w:cs="Times New Roman"/>
      <w:sz w:val="21"/>
      <w:lang w:val="en-US" w:eastAsia="zh-CN" w:bidi="ar-SA"/>
    </w:rPr>
  </w:style>
  <w:style w:type="paragraph" w:customStyle="1" w:styleId="103">
    <w:name w:val="标准文件_封面标准英文名称"/>
    <w:basedOn w:val="1"/>
    <w:qFormat/>
    <w:uiPriority w:val="0"/>
    <w:pPr>
      <w:spacing w:line="440" w:lineRule="exact"/>
      <w:jc w:val="center"/>
    </w:pPr>
    <w:rPr>
      <w:rFonts w:eastAsia="黑体"/>
      <w:b/>
      <w:sz w:val="28"/>
    </w:rPr>
  </w:style>
  <w:style w:type="paragraph" w:customStyle="1" w:styleId="104">
    <w:name w:val="标准书眉一"/>
    <w:qFormat/>
    <w:uiPriority w:val="0"/>
    <w:pPr>
      <w:jc w:val="both"/>
    </w:pPr>
    <w:rPr>
      <w:rFonts w:ascii="Times New Roman" w:hAnsi="Times New Roman" w:eastAsia="宋体" w:cs="Times New Roman"/>
      <w:lang w:val="en-US" w:eastAsia="zh-CN" w:bidi="ar-SA"/>
    </w:rPr>
  </w:style>
  <w:style w:type="paragraph" w:customStyle="1" w:styleId="105">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0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07">
    <w:name w:val="标准文件_三级条标题"/>
    <w:basedOn w:val="101"/>
    <w:next w:val="72"/>
    <w:qFormat/>
    <w:uiPriority w:val="0"/>
    <w:pPr>
      <w:ind w:left="-50"/>
      <w:outlineLvl w:val="4"/>
    </w:pPr>
  </w:style>
  <w:style w:type="paragraph" w:customStyle="1" w:styleId="108">
    <w:name w:val="附录一级无标题条"/>
    <w:basedOn w:val="71"/>
    <w:next w:val="72"/>
    <w:qFormat/>
    <w:uiPriority w:val="0"/>
    <w:pPr>
      <w:autoSpaceDN w:val="0"/>
      <w:outlineLvl w:val="2"/>
    </w:pPr>
    <w:rPr>
      <w:rFonts w:ascii="宋体" w:eastAsia="宋体"/>
    </w:rPr>
  </w:style>
  <w:style w:type="paragraph" w:customStyle="1" w:styleId="109">
    <w:name w:val="标准文件_四级条标题"/>
    <w:basedOn w:val="107"/>
    <w:next w:val="72"/>
    <w:qFormat/>
    <w:uiPriority w:val="0"/>
    <w:pPr>
      <w:outlineLvl w:val="5"/>
    </w:pPr>
  </w:style>
  <w:style w:type="paragraph" w:customStyle="1" w:styleId="110">
    <w:name w:val="附录四级无标题条"/>
    <w:basedOn w:val="111"/>
    <w:next w:val="72"/>
    <w:qFormat/>
    <w:uiPriority w:val="0"/>
    <w:pPr>
      <w:outlineLvl w:val="5"/>
    </w:pPr>
  </w:style>
  <w:style w:type="paragraph" w:customStyle="1" w:styleId="111">
    <w:name w:val="附录三级无标题条"/>
    <w:basedOn w:val="112"/>
    <w:next w:val="72"/>
    <w:qFormat/>
    <w:uiPriority w:val="0"/>
    <w:pPr>
      <w:outlineLvl w:val="4"/>
    </w:pPr>
  </w:style>
  <w:style w:type="paragraph" w:customStyle="1" w:styleId="112">
    <w:name w:val="附录二级无标题条"/>
    <w:basedOn w:val="1"/>
    <w:next w:val="72"/>
    <w:qFormat/>
    <w:uiPriority w:val="0"/>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113">
    <w:name w:val="标准文件_附录四级条标题"/>
    <w:basedOn w:val="95"/>
    <w:next w:val="72"/>
    <w:qFormat/>
    <w:uiPriority w:val="0"/>
    <w:pPr>
      <w:outlineLvl w:val="5"/>
    </w:pPr>
  </w:style>
  <w:style w:type="paragraph" w:customStyle="1" w:styleId="114">
    <w:name w:val="标准文件_标准部门"/>
    <w:basedOn w:val="1"/>
    <w:next w:val="1"/>
    <w:qFormat/>
    <w:uiPriority w:val="0"/>
    <w:pPr>
      <w:jc w:val="right"/>
    </w:pPr>
    <w:rPr>
      <w:rFonts w:ascii="黑体" w:eastAsia="黑体"/>
      <w:sz w:val="32"/>
    </w:rPr>
  </w:style>
  <w:style w:type="paragraph" w:customStyle="1" w:styleId="115">
    <w:name w:val="tab"/>
    <w:basedOn w:val="1"/>
    <w:qFormat/>
    <w:uiPriority w:val="0"/>
    <w:pPr>
      <w:widowControl/>
      <w:overflowPunct w:val="0"/>
      <w:autoSpaceDE w:val="0"/>
      <w:autoSpaceDN w:val="0"/>
      <w:snapToGrid w:val="0"/>
      <w:spacing w:line="288" w:lineRule="auto"/>
      <w:jc w:val="center"/>
    </w:pPr>
    <w:rPr>
      <w:spacing w:val="-10"/>
      <w:kern w:val="0"/>
      <w:sz w:val="24"/>
      <w:szCs w:val="24"/>
    </w:rPr>
  </w:style>
  <w:style w:type="paragraph" w:customStyle="1" w:styleId="116">
    <w:name w:val="标准文件_标准代替"/>
    <w:basedOn w:val="1"/>
    <w:next w:val="1"/>
    <w:qFormat/>
    <w:uiPriority w:val="0"/>
    <w:pPr>
      <w:jc w:val="right"/>
    </w:pPr>
    <w:rPr>
      <w:rFonts w:ascii="宋体"/>
      <w:kern w:val="0"/>
    </w:rPr>
  </w:style>
  <w:style w:type="paragraph" w:customStyle="1" w:styleId="117">
    <w:name w:val="附录性质"/>
    <w:basedOn w:val="1"/>
    <w:qFormat/>
    <w:uiPriority w:val="0"/>
    <w:pPr>
      <w:widowControl/>
      <w:adjustRightInd/>
      <w:jc w:val="center"/>
    </w:pPr>
    <w:rPr>
      <w:rFonts w:ascii="黑体" w:eastAsia="黑体"/>
    </w:rPr>
  </w:style>
  <w:style w:type="paragraph" w:customStyle="1" w:styleId="118">
    <w:name w:val="封面正文"/>
    <w:qFormat/>
    <w:uiPriority w:val="0"/>
    <w:pPr>
      <w:jc w:val="both"/>
    </w:pPr>
    <w:rPr>
      <w:rFonts w:ascii="Times New Roman" w:hAnsi="Times New Roman" w:eastAsia="宋体" w:cs="Times New Roman"/>
      <w:lang w:val="en-US" w:eastAsia="zh-CN" w:bidi="ar-SA"/>
    </w:rPr>
  </w:style>
  <w:style w:type="paragraph" w:customStyle="1" w:styleId="11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20">
    <w:name w:val="c前言标准编号"/>
    <w:basedOn w:val="1"/>
    <w:qFormat/>
    <w:uiPriority w:val="0"/>
    <w:pPr>
      <w:spacing w:line="360" w:lineRule="atLeast"/>
    </w:pPr>
    <w:rPr>
      <w:rFonts w:eastAsia="黑体"/>
    </w:rPr>
  </w:style>
  <w:style w:type="paragraph" w:customStyle="1" w:styleId="121">
    <w:name w:val="附录图标题1"/>
    <w:next w:val="7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22">
    <w:name w:val="实施日期"/>
    <w:basedOn w:val="123"/>
    <w:qFormat/>
    <w:uiPriority w:val="0"/>
    <w:pPr>
      <w:jc w:val="right"/>
    </w:pPr>
  </w:style>
  <w:style w:type="paragraph" w:customStyle="1" w:styleId="123">
    <w:name w:val="发布日期"/>
    <w:qFormat/>
    <w:uiPriority w:val="0"/>
    <w:rPr>
      <w:rFonts w:ascii="Times New Roman" w:hAnsi="Times New Roman" w:eastAsia="黑体" w:cs="Times New Roman"/>
      <w:sz w:val="28"/>
      <w:lang w:val="en-US" w:eastAsia="zh-CN" w:bidi="ar-SA"/>
    </w:rPr>
  </w:style>
  <w:style w:type="paragraph" w:customStyle="1" w:styleId="124">
    <w:name w:val="标准文件_封面密级"/>
    <w:basedOn w:val="1"/>
    <w:qFormat/>
    <w:uiPriority w:val="0"/>
    <w:rPr>
      <w:rFonts w:eastAsia="黑体"/>
      <w:sz w:val="32"/>
    </w:rPr>
  </w:style>
  <w:style w:type="paragraph" w:customStyle="1" w:styleId="125">
    <w:name w:val="二级无"/>
    <w:qFormat/>
    <w:uiPriority w:val="0"/>
    <w:rPr>
      <w:rFonts w:ascii="宋体" w:hAnsi="Times New Roman" w:eastAsia="宋体" w:cs="Times New Roman"/>
      <w:lang w:val="en-US" w:eastAsia="zh-CN" w:bidi="ar-SA"/>
    </w:rPr>
  </w:style>
  <w:style w:type="paragraph" w:customStyle="1" w:styleId="12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7">
    <w:name w:val="附录五级无标题条"/>
    <w:basedOn w:val="110"/>
    <w:next w:val="72"/>
    <w:qFormat/>
    <w:uiPriority w:val="0"/>
    <w:pPr>
      <w:outlineLvl w:val="6"/>
    </w:pPr>
  </w:style>
  <w:style w:type="paragraph" w:customStyle="1" w:styleId="128">
    <w:name w:val="标准文件_封面标准编号"/>
    <w:basedOn w:val="1"/>
    <w:next w:val="116"/>
    <w:qFormat/>
    <w:uiPriority w:val="0"/>
    <w:pPr>
      <w:ind w:left="-283" w:leftChars="-135"/>
      <w:jc w:val="right"/>
    </w:pPr>
    <w:rPr>
      <w:rFonts w:eastAsia="黑体"/>
      <w:b/>
      <w:kern w:val="0"/>
      <w:sz w:val="36"/>
    </w:rPr>
  </w:style>
  <w:style w:type="paragraph" w:customStyle="1" w:styleId="12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0">
    <w:name w:val="标准文件_图表脚注"/>
    <w:next w:val="1"/>
    <w:qFormat/>
    <w:uiPriority w:val="0"/>
    <w:pPr>
      <w:tabs>
        <w:tab w:val="left" w:pos="210"/>
      </w:tabs>
      <w:spacing w:line="300" w:lineRule="exact"/>
      <w:ind w:left="280" w:leftChars="200" w:hanging="80" w:hangingChars="80"/>
      <w:jc w:val="both"/>
    </w:pPr>
    <w:rPr>
      <w:rFonts w:ascii="宋体" w:hAnsi="Times New Roman" w:eastAsia="宋体" w:cs="Times New Roman"/>
      <w:sz w:val="18"/>
      <w:lang w:val="en-US" w:eastAsia="zh-CN" w:bidi="ar-SA"/>
    </w:rPr>
  </w:style>
  <w:style w:type="paragraph" w:customStyle="1" w:styleId="131">
    <w:name w:val="标准文件_标准名称标题"/>
    <w:basedOn w:val="1"/>
    <w:next w:val="85"/>
    <w:qFormat/>
    <w:uiPriority w:val="0"/>
    <w:pPr>
      <w:widowControl/>
      <w:shd w:val="clear" w:color="FFFFFF" w:fill="FFFFFF"/>
      <w:adjustRightInd/>
      <w:spacing w:before="640" w:after="100" w:line="400" w:lineRule="exact"/>
      <w:jc w:val="center"/>
      <w:outlineLvl w:val="0"/>
    </w:pPr>
    <w:rPr>
      <w:rFonts w:ascii="黑体" w:eastAsia="黑体"/>
      <w:kern w:val="0"/>
      <w:sz w:val="32"/>
    </w:rPr>
  </w:style>
  <w:style w:type="paragraph" w:customStyle="1" w:styleId="132">
    <w:name w:val="注×:后续"/>
    <w:basedOn w:val="78"/>
    <w:qFormat/>
    <w:uiPriority w:val="0"/>
    <w:pPr>
      <w:ind w:left="1406" w:leftChars="0" w:hanging="499" w:firstLineChars="0"/>
    </w:pPr>
  </w:style>
  <w:style w:type="paragraph" w:customStyle="1" w:styleId="133">
    <w:name w:val="标准文件_标准书眉_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34">
    <w:name w:val="附录图"/>
    <w:next w:val="72"/>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章"/>
    <w:basedOn w:val="1"/>
    <w:next w:val="136"/>
    <w:qFormat/>
    <w:uiPriority w:val="0"/>
    <w:pPr>
      <w:spacing w:before="160" w:after="160" w:line="240" w:lineRule="auto"/>
      <w:outlineLvl w:val="0"/>
    </w:pPr>
    <w:rPr>
      <w:rFonts w:ascii="黑体" w:eastAsia="黑体"/>
      <w:kern w:val="21"/>
    </w:rPr>
  </w:style>
  <w:style w:type="paragraph" w:customStyle="1" w:styleId="136">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7">
    <w:name w:val="标准文件_破折号列项（二级）"/>
    <w:basedOn w:val="88"/>
    <w:qFormat/>
    <w:uiPriority w:val="0"/>
    <w:pPr>
      <w:ind w:left="550" w:leftChars="350"/>
    </w:pPr>
  </w:style>
  <w:style w:type="paragraph" w:customStyle="1" w:styleId="138">
    <w:name w:val="条1"/>
    <w:basedOn w:val="1"/>
    <w:next w:val="136"/>
    <w:qFormat/>
    <w:uiPriority w:val="0"/>
    <w:pPr>
      <w:adjustRightInd/>
      <w:spacing w:line="240" w:lineRule="auto"/>
      <w:outlineLvl w:val="1"/>
    </w:pPr>
    <w:rPr>
      <w:rFonts w:ascii="黑体" w:eastAsia="黑体"/>
      <w:kern w:val="21"/>
    </w:rPr>
  </w:style>
  <w:style w:type="paragraph" w:customStyle="1" w:styleId="139">
    <w:name w:val="封面标准代替信息"/>
    <w:basedOn w:val="140"/>
    <w:qFormat/>
    <w:uiPriority w:val="0"/>
    <w:pPr>
      <w:spacing w:before="57"/>
    </w:pPr>
    <w:rPr>
      <w:rFonts w:ascii="宋体"/>
      <w:sz w:val="21"/>
    </w:rPr>
  </w:style>
  <w:style w:type="paragraph" w:customStyle="1" w:styleId="140">
    <w:name w:val="封面标准号2"/>
    <w:basedOn w:val="141"/>
    <w:qFormat/>
    <w:uiPriority w:val="0"/>
    <w:pPr>
      <w:adjustRightInd w:val="0"/>
      <w:spacing w:before="357" w:line="280" w:lineRule="exact"/>
    </w:pPr>
  </w:style>
  <w:style w:type="paragraph" w:customStyle="1" w:styleId="14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42">
    <w:name w:val="二级无标题条"/>
    <w:basedOn w:val="1"/>
    <w:qFormat/>
    <w:uiPriority w:val="0"/>
    <w:pPr>
      <w:adjustRightInd/>
    </w:pPr>
    <w:rPr>
      <w:szCs w:val="24"/>
    </w:rPr>
  </w:style>
  <w:style w:type="paragraph" w:customStyle="1" w:styleId="143">
    <w:name w:val="标准文件_正文公式"/>
    <w:basedOn w:val="1"/>
    <w:next w:val="87"/>
    <w:qFormat/>
    <w:uiPriority w:val="0"/>
    <w:pPr>
      <w:tabs>
        <w:tab w:val="right" w:leader="dot" w:pos="0"/>
      </w:tabs>
      <w:spacing w:beforeLines="50" w:afterLines="50" w:line="300" w:lineRule="auto"/>
      <w:jc w:val="right"/>
    </w:pPr>
    <w:rPr>
      <w:sz w:val="24"/>
      <w:szCs w:val="24"/>
    </w:rPr>
  </w:style>
  <w:style w:type="paragraph" w:customStyle="1" w:styleId="144">
    <w:name w:val="标准文件_附录公式"/>
    <w:basedOn w:val="87"/>
    <w:next w:val="87"/>
    <w:qFormat/>
    <w:uiPriority w:val="0"/>
    <w:pPr>
      <w:spacing w:line="276" w:lineRule="auto"/>
    </w:pPr>
    <w:rPr>
      <w:rFonts w:ascii="宋体"/>
    </w:rPr>
  </w:style>
  <w:style w:type="paragraph" w:customStyle="1" w:styleId="145">
    <w:name w:val="标准文件_示例后续"/>
    <w:basedOn w:val="1"/>
    <w:qFormat/>
    <w:uiPriority w:val="0"/>
    <w:pPr>
      <w:adjustRightInd/>
      <w:spacing w:line="240" w:lineRule="auto"/>
      <w:ind w:left="-50" w:leftChars="-50" w:right="-50" w:rightChars="-50"/>
    </w:pPr>
    <w:rPr>
      <w:sz w:val="18"/>
      <w:szCs w:val="24"/>
    </w:rPr>
  </w:style>
  <w:style w:type="paragraph" w:customStyle="1" w:styleId="146">
    <w:name w:val="标准文件_附录标识"/>
    <w:next w:val="20"/>
    <w:qFormat/>
    <w:uiPriority w:val="0"/>
    <w:p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147">
    <w:name w:val="标准书脚_偶数页"/>
    <w:qFormat/>
    <w:uiPriority w:val="0"/>
    <w:rPr>
      <w:rFonts w:ascii="宋体" w:hAnsi="Times New Roman" w:eastAsia="宋体" w:cs="Times New Roman"/>
      <w:sz w:val="18"/>
      <w:lang w:val="en-US" w:eastAsia="zh-CN" w:bidi="ar-SA"/>
    </w:rPr>
  </w:style>
  <w:style w:type="paragraph" w:customStyle="1" w:styleId="148">
    <w:name w:val="标准文件_字母编号列项"/>
    <w:qFormat/>
    <w:uiPriority w:val="0"/>
    <w:pPr>
      <w:spacing w:line="300" w:lineRule="exact"/>
      <w:ind w:left="370" w:leftChars="170" w:right="-50" w:rightChars="-50" w:hanging="200" w:hangingChars="200"/>
      <w:jc w:val="both"/>
    </w:pPr>
    <w:rPr>
      <w:rFonts w:ascii="宋体" w:hAnsi="Times New Roman" w:eastAsia="宋体" w:cs="Times New Roman"/>
      <w:sz w:val="21"/>
      <w:lang w:val="en-US" w:eastAsia="zh-CN" w:bidi="ar-SA"/>
    </w:rPr>
  </w:style>
  <w:style w:type="paragraph" w:customStyle="1" w:styleId="149">
    <w:name w:val="一级无"/>
    <w:qFormat/>
    <w:uiPriority w:val="0"/>
    <w:rPr>
      <w:rFonts w:ascii="宋体" w:hAnsi="Times New Roman" w:eastAsia="宋体" w:cs="Times New Roman"/>
      <w:lang w:val="en-US" w:eastAsia="zh-CN" w:bidi="ar-SA"/>
    </w:rPr>
  </w:style>
  <w:style w:type="paragraph" w:customStyle="1" w:styleId="150">
    <w:name w:val="标准文件_目录标题"/>
    <w:basedOn w:val="1"/>
    <w:qFormat/>
    <w:uiPriority w:val="0"/>
    <w:pPr>
      <w:spacing w:before="540" w:after="600"/>
      <w:jc w:val="center"/>
    </w:pPr>
    <w:rPr>
      <w:rFonts w:eastAsia="黑体"/>
      <w:sz w:val="32"/>
    </w:rPr>
  </w:style>
  <w:style w:type="paragraph" w:customStyle="1" w:styleId="151">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152">
    <w:name w:val="标准文件_正文表标题"/>
    <w:next w:val="72"/>
    <w:qFormat/>
    <w:uiPriority w:val="0"/>
    <w:pPr>
      <w:tabs>
        <w:tab w:val="left" w:pos="0"/>
      </w:tabs>
      <w:jc w:val="center"/>
    </w:pPr>
    <w:rPr>
      <w:rFonts w:ascii="黑体" w:hAnsi="Times New Roman" w:eastAsia="黑体" w:cs="Times New Roman"/>
      <w:sz w:val="21"/>
      <w:lang w:val="en-US" w:eastAsia="zh-CN" w:bidi="ar-SA"/>
    </w:rPr>
  </w:style>
  <w:style w:type="paragraph" w:customStyle="1" w:styleId="153">
    <w:name w:val="条5"/>
    <w:basedOn w:val="1"/>
    <w:next w:val="136"/>
    <w:qFormat/>
    <w:uiPriority w:val="0"/>
    <w:pPr>
      <w:adjustRightInd/>
      <w:spacing w:line="240" w:lineRule="auto"/>
      <w:outlineLvl w:val="1"/>
    </w:pPr>
    <w:rPr>
      <w:rFonts w:ascii="黑体" w:eastAsia="黑体"/>
      <w:kern w:val="21"/>
    </w:rPr>
  </w:style>
  <w:style w:type="paragraph" w:customStyle="1" w:styleId="154">
    <w:name w:val="条3"/>
    <w:basedOn w:val="1"/>
    <w:next w:val="136"/>
    <w:qFormat/>
    <w:uiPriority w:val="0"/>
    <w:pPr>
      <w:adjustRightInd/>
      <w:spacing w:line="240" w:lineRule="auto"/>
      <w:ind w:left="851"/>
      <w:outlineLvl w:val="1"/>
    </w:pPr>
    <w:rPr>
      <w:rFonts w:ascii="黑体" w:eastAsia="黑体"/>
      <w:kern w:val="21"/>
    </w:rPr>
  </w:style>
  <w:style w:type="paragraph" w:customStyle="1" w:styleId="155">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56">
    <w:name w:val="标准文件_标准书眉_偶数页"/>
    <w:basedOn w:val="133"/>
    <w:next w:val="1"/>
    <w:qFormat/>
    <w:uiPriority w:val="0"/>
    <w:pPr>
      <w:jc w:val="left"/>
    </w:pPr>
  </w:style>
  <w:style w:type="paragraph" w:customStyle="1" w:styleId="157">
    <w:name w:val="四级无标题条"/>
    <w:basedOn w:val="1"/>
    <w:qFormat/>
    <w:uiPriority w:val="0"/>
    <w:pPr>
      <w:adjustRightInd/>
    </w:pPr>
    <w:rPr>
      <w:szCs w:val="24"/>
    </w:rPr>
  </w:style>
  <w:style w:type="paragraph" w:customStyle="1" w:styleId="158">
    <w:name w:val="正文缩进1"/>
    <w:basedOn w:val="1"/>
    <w:qFormat/>
    <w:uiPriority w:val="0"/>
    <w:pPr>
      <w:ind w:firstLine="420"/>
    </w:pPr>
  </w:style>
  <w:style w:type="paragraph" w:customStyle="1" w:styleId="15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60">
    <w:name w:val="标准文件_封面发布日期"/>
    <w:basedOn w:val="1"/>
    <w:qFormat/>
    <w:uiPriority w:val="0"/>
    <w:rPr>
      <w:rFonts w:ascii="黑体" w:eastAsia="黑体"/>
      <w:kern w:val="0"/>
      <w:sz w:val="28"/>
    </w:rPr>
  </w:style>
  <w:style w:type="paragraph" w:customStyle="1" w:styleId="161">
    <w:name w:val="标准文件_示例×："/>
    <w:next w:val="72"/>
    <w:qFormat/>
    <w:uiPriority w:val="0"/>
    <w:pPr>
      <w:widowControl w:val="0"/>
      <w:tabs>
        <w:tab w:val="left" w:pos="630"/>
        <w:tab w:val="left" w:pos="900"/>
      </w:tabs>
      <w:autoSpaceDE w:val="0"/>
      <w:autoSpaceDN w:val="0"/>
      <w:spacing w:afterLines="30" w:line="300" w:lineRule="exact"/>
      <w:ind w:left="-50" w:leftChars="-50" w:right="-50" w:rightChars="-50" w:firstLine="425"/>
      <w:jc w:val="both"/>
    </w:pPr>
    <w:rPr>
      <w:rFonts w:ascii="宋体" w:hAnsi="Times New Roman" w:eastAsia="宋体" w:cs="Times New Roman"/>
      <w:sz w:val="18"/>
      <w:lang w:val="en-US" w:eastAsia="zh-CN" w:bidi="ar-SA"/>
    </w:rPr>
  </w:style>
  <w:style w:type="paragraph" w:customStyle="1" w:styleId="162">
    <w:name w:val="标准文件_附录五级条标题"/>
    <w:basedOn w:val="113"/>
    <w:next w:val="72"/>
    <w:qFormat/>
    <w:uiPriority w:val="0"/>
    <w:pPr>
      <w:outlineLvl w:val="6"/>
    </w:pPr>
  </w:style>
  <w:style w:type="paragraph" w:customStyle="1" w:styleId="163">
    <w:name w:val="标准文件_示例："/>
    <w:next w:val="72"/>
    <w:qFormat/>
    <w:uiPriority w:val="0"/>
    <w:pPr>
      <w:tabs>
        <w:tab w:val="left" w:pos="861"/>
      </w:tabs>
      <w:spacing w:afterLines="30" w:line="300" w:lineRule="exact"/>
      <w:ind w:left="-50" w:leftChars="-50" w:right="-50" w:rightChars="-50" w:firstLine="425"/>
    </w:pPr>
    <w:rPr>
      <w:rFonts w:ascii="Times New Roman" w:hAnsi="Times New Roman" w:eastAsia="宋体" w:cs="Times New Roman"/>
      <w:sz w:val="18"/>
      <w:lang w:val="en-US" w:eastAsia="zh-CN" w:bidi="ar-SA"/>
    </w:rPr>
  </w:style>
  <w:style w:type="paragraph" w:customStyle="1" w:styleId="164">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5">
    <w:name w:val="标准文件_参考文献、索引标题"/>
    <w:basedOn w:val="1"/>
    <w:next w:val="1"/>
    <w:qFormat/>
    <w:uiPriority w:val="0"/>
    <w:pPr>
      <w:widowControl/>
      <w:shd w:val="clear" w:color="FFFFFF" w:fill="FFFFFF"/>
      <w:adjustRightInd/>
      <w:spacing w:before="540" w:after="180" w:line="240" w:lineRule="auto"/>
      <w:jc w:val="center"/>
      <w:outlineLvl w:val="0"/>
    </w:pPr>
    <w:rPr>
      <w:rFonts w:ascii="黑体" w:eastAsia="黑体"/>
      <w:spacing w:val="200"/>
      <w:kern w:val="0"/>
    </w:rPr>
  </w:style>
  <w:style w:type="paragraph" w:customStyle="1" w:styleId="166">
    <w:name w:val="标准文件_ICS"/>
    <w:basedOn w:val="1"/>
    <w:qFormat/>
    <w:uiPriority w:val="0"/>
    <w:pPr>
      <w:spacing w:line="0" w:lineRule="atLeast"/>
    </w:pPr>
    <w:rPr>
      <w:rFonts w:ascii="黑体" w:hAnsi="宋体" w:eastAsia="黑体"/>
    </w:rPr>
  </w:style>
  <w:style w:type="paragraph" w:customStyle="1" w:styleId="167">
    <w:name w:val="标准文件_五级条标题"/>
    <w:basedOn w:val="109"/>
    <w:next w:val="72"/>
    <w:qFormat/>
    <w:uiPriority w:val="0"/>
    <w:pPr>
      <w:outlineLvl w:val="6"/>
    </w:pPr>
  </w:style>
  <w:style w:type="paragraph" w:customStyle="1" w:styleId="168">
    <w:name w:val="标准文件_条文脚注"/>
    <w:basedOn w:val="28"/>
    <w:qFormat/>
    <w:uiPriority w:val="0"/>
    <w:pPr>
      <w:adjustRightInd w:val="0"/>
      <w:jc w:val="both"/>
    </w:pPr>
  </w:style>
  <w:style w:type="paragraph" w:customStyle="1" w:styleId="169">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70">
    <w:name w:val="一级无标题条"/>
    <w:basedOn w:val="1"/>
    <w:qFormat/>
    <w:uiPriority w:val="0"/>
    <w:pPr>
      <w:adjustRightInd/>
    </w:pPr>
    <w:rPr>
      <w:szCs w:val="24"/>
    </w:rPr>
  </w:style>
  <w:style w:type="paragraph" w:customStyle="1" w:styleId="171">
    <w:name w:val="TOC 标题1"/>
    <w:basedOn w:val="2"/>
    <w:next w:val="1"/>
    <w:qFormat/>
    <w:uiPriority w:val="39"/>
    <w:pPr>
      <w:widowControl/>
      <w:spacing w:before="480" w:after="0" w:line="276" w:lineRule="auto"/>
      <w:jc w:val="left"/>
      <w:outlineLvl w:val="9"/>
    </w:pPr>
    <w:rPr>
      <w:rFonts w:ascii="Cambria" w:hAnsi="Cambria" w:eastAsia="宋体"/>
      <w:b/>
      <w:color w:val="365F91"/>
      <w:kern w:val="0"/>
      <w:sz w:val="28"/>
      <w:szCs w:val="28"/>
    </w:rPr>
  </w:style>
  <w:style w:type="paragraph" w:customStyle="1" w:styleId="172">
    <w:name w:val="标准书脚_奇数页"/>
    <w:qFormat/>
    <w:uiPriority w:val="0"/>
    <w:pPr>
      <w:jc w:val="right"/>
    </w:pPr>
    <w:rPr>
      <w:rFonts w:ascii="宋体" w:hAnsi="Times New Roman" w:eastAsia="宋体" w:cs="Times New Roman"/>
      <w:sz w:val="18"/>
      <w:lang w:val="en-US" w:eastAsia="zh-CN" w:bidi="ar-SA"/>
    </w:rPr>
  </w:style>
  <w:style w:type="paragraph" w:customStyle="1" w:styleId="173">
    <w:name w:val="标准文件_封面标准名称"/>
    <w:basedOn w:val="1"/>
    <w:qFormat/>
    <w:uiPriority w:val="0"/>
    <w:pPr>
      <w:spacing w:beforeLines="100" w:line="500" w:lineRule="exact"/>
      <w:jc w:val="center"/>
    </w:pPr>
    <w:rPr>
      <w:rFonts w:ascii="黑体" w:eastAsia="黑体"/>
      <w:kern w:val="0"/>
      <w:sz w:val="52"/>
    </w:rPr>
  </w:style>
  <w:style w:type="paragraph" w:customStyle="1" w:styleId="174">
    <w:name w:val="条2"/>
    <w:basedOn w:val="1"/>
    <w:next w:val="136"/>
    <w:qFormat/>
    <w:uiPriority w:val="0"/>
    <w:pPr>
      <w:adjustRightInd/>
      <w:spacing w:line="240" w:lineRule="auto"/>
      <w:outlineLvl w:val="1"/>
    </w:pPr>
    <w:rPr>
      <w:rFonts w:ascii="黑体" w:eastAsia="黑体"/>
      <w:kern w:val="21"/>
    </w:rPr>
  </w:style>
  <w:style w:type="paragraph" w:customStyle="1" w:styleId="175">
    <w:name w:val="条4"/>
    <w:basedOn w:val="1"/>
    <w:next w:val="136"/>
    <w:qFormat/>
    <w:uiPriority w:val="0"/>
    <w:pPr>
      <w:adjustRightInd/>
      <w:spacing w:line="240" w:lineRule="auto"/>
      <w:outlineLvl w:val="1"/>
    </w:pPr>
    <w:rPr>
      <w:rFonts w:ascii="黑体" w:eastAsia="黑体"/>
      <w:kern w:val="21"/>
    </w:rPr>
  </w:style>
  <w:style w:type="paragraph" w:customStyle="1" w:styleId="176">
    <w:name w:val="纯文本11"/>
    <w:basedOn w:val="1"/>
    <w:qFormat/>
    <w:uiPriority w:val="0"/>
    <w:pPr>
      <w:adjustRightInd/>
      <w:spacing w:line="240" w:lineRule="auto"/>
    </w:pPr>
    <w:rPr>
      <w:rFonts w:ascii="宋体" w:hAnsi="Courier New" w:cs="Courier New"/>
      <w:szCs w:val="21"/>
    </w:rPr>
  </w:style>
  <w:style w:type="paragraph" w:styleId="177">
    <w:name w:val="List Paragraph"/>
    <w:basedOn w:val="1"/>
    <w:qFormat/>
    <w:uiPriority w:val="34"/>
    <w:pPr>
      <w:ind w:firstLine="420" w:firstLineChars="200"/>
    </w:pPr>
  </w:style>
  <w:style w:type="character" w:customStyle="1" w:styleId="178">
    <w:name w:val="纯文本 字符"/>
    <w:basedOn w:val="36"/>
    <w:link w:val="22"/>
    <w:qFormat/>
    <w:uiPriority w:val="0"/>
    <w:rPr>
      <w:rFonts w:ascii="宋体" w:hAnsi="Courier New" w:eastAsia="宋体" w:cs="Courier New"/>
      <w:kern w:val="2"/>
      <w:sz w:val="21"/>
      <w:szCs w:val="21"/>
      <w:lang w:val="en-US" w:eastAsia="zh-CN" w:bidi="ar-SA"/>
    </w:rPr>
  </w:style>
  <w:style w:type="character" w:styleId="179">
    <w:name w:val="Placeholder Text"/>
    <w:basedOn w:val="36"/>
    <w:semiHidden/>
    <w:qFormat/>
    <w:uiPriority w:val="99"/>
    <w:rPr>
      <w:color w:val="808080"/>
    </w:rPr>
  </w:style>
  <w:style w:type="character" w:customStyle="1" w:styleId="180">
    <w:name w:val="批注文字 字符"/>
    <w:basedOn w:val="36"/>
    <w:link w:val="19"/>
    <w:semiHidden/>
    <w:qFormat/>
    <w:uiPriority w:val="0"/>
    <w:rPr>
      <w:kern w:val="2"/>
      <w:sz w:val="21"/>
    </w:rPr>
  </w:style>
  <w:style w:type="character" w:customStyle="1" w:styleId="181">
    <w:name w:val="批注主题 字符"/>
    <w:basedOn w:val="180"/>
    <w:link w:val="33"/>
    <w:semiHidden/>
    <w:qFormat/>
    <w:uiPriority w:val="0"/>
    <w:rPr>
      <w:b/>
      <w:bCs/>
      <w:kern w:val="2"/>
      <w:sz w:val="21"/>
    </w:rPr>
  </w:style>
  <w:style w:type="character" w:customStyle="1" w:styleId="182">
    <w:name w:val="TOC 5 字符"/>
    <w:link w:val="13"/>
    <w:qFormat/>
    <w:uiPriority w:val="0"/>
  </w:style>
  <w:style w:type="paragraph" w:customStyle="1" w:styleId="183">
    <w:name w:val="修订1"/>
    <w:hidden/>
    <w:semiHidden/>
    <w:qFormat/>
    <w:uiPriority w:val="99"/>
    <w:rPr>
      <w:rFonts w:ascii="Times New Roman" w:hAnsi="Times New Roman" w:eastAsia="宋体" w:cs="Times New Roman"/>
      <w:kern w:val="2"/>
      <w:sz w:val="21"/>
      <w:lang w:val="en-US" w:eastAsia="zh-CN" w:bidi="ar-SA"/>
    </w:rPr>
  </w:style>
  <w:style w:type="paragraph" w:customStyle="1" w:styleId="184">
    <w:name w:val="修订2"/>
    <w:hidden/>
    <w:semiHidden/>
    <w:qFormat/>
    <w:uiPriority w:val="99"/>
    <w:rPr>
      <w:rFonts w:ascii="Times New Roman" w:hAnsi="Times New Roman" w:eastAsia="宋体" w:cs="Times New Roman"/>
      <w:kern w:val="2"/>
      <w:sz w:val="21"/>
      <w:lang w:val="en-US" w:eastAsia="zh-CN" w:bidi="ar-SA"/>
    </w:rPr>
  </w:style>
  <w:style w:type="paragraph" w:customStyle="1" w:styleId="185">
    <w:name w:val="WPSOffice手动目录 1"/>
    <w:qFormat/>
    <w:uiPriority w:val="0"/>
    <w:rPr>
      <w:rFonts w:ascii="Times New Roman" w:hAnsi="Times New Roman" w:eastAsia="宋体" w:cs="Times New Roman"/>
      <w:lang w:val="en-US" w:eastAsia="zh-CN" w:bidi="ar-SA"/>
    </w:rPr>
  </w:style>
  <w:style w:type="paragraph" w:customStyle="1" w:styleId="186">
    <w:name w:val="修订3"/>
    <w:hidden/>
    <w:unhideWhenUsed/>
    <w:qFormat/>
    <w:uiPriority w:val="99"/>
    <w:rPr>
      <w:rFonts w:ascii="Times New Roman" w:hAnsi="Times New Roman" w:eastAsia="宋体" w:cs="Times New Roman"/>
      <w:kern w:val="2"/>
      <w:sz w:val="21"/>
      <w:lang w:val="en-US" w:eastAsia="zh-CN" w:bidi="ar-SA"/>
    </w:rPr>
  </w:style>
  <w:style w:type="table" w:customStyle="1" w:styleId="187">
    <w:name w:val="网格型1"/>
    <w:basedOn w:val="34"/>
    <w:qFormat/>
    <w:uiPriority w:val="59"/>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8">
    <w:name w:val="正文文本 字符"/>
    <w:basedOn w:val="36"/>
    <w:link w:val="20"/>
    <w:qFormat/>
    <w:uiPriority w:val="0"/>
    <w:rPr>
      <w:kern w:val="2"/>
      <w:sz w:val="21"/>
    </w:rPr>
  </w:style>
  <w:style w:type="character" w:customStyle="1" w:styleId="189">
    <w:name w:val="标题 2 字符"/>
    <w:basedOn w:val="36"/>
    <w:link w:val="3"/>
    <w:qFormat/>
    <w:uiPriority w:val="0"/>
    <w:rPr>
      <w:rFonts w:eastAsia="黑体"/>
      <w:bCs/>
      <w:kern w:val="2"/>
      <w:sz w:val="24"/>
      <w:szCs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38.wmf"/><Relationship Id="rId97" Type="http://schemas.openxmlformats.org/officeDocument/2006/relationships/oleObject" Target="embeddings/oleObject40.bin"/><Relationship Id="rId96" Type="http://schemas.openxmlformats.org/officeDocument/2006/relationships/image" Target="media/image37.wmf"/><Relationship Id="rId95" Type="http://schemas.openxmlformats.org/officeDocument/2006/relationships/oleObject" Target="embeddings/oleObject39.bin"/><Relationship Id="rId94" Type="http://schemas.openxmlformats.org/officeDocument/2006/relationships/image" Target="media/image36.wmf"/><Relationship Id="rId93" Type="http://schemas.openxmlformats.org/officeDocument/2006/relationships/oleObject" Target="embeddings/oleObject38.bin"/><Relationship Id="rId92" Type="http://schemas.openxmlformats.org/officeDocument/2006/relationships/image" Target="media/image35.wmf"/><Relationship Id="rId91" Type="http://schemas.openxmlformats.org/officeDocument/2006/relationships/oleObject" Target="embeddings/oleObject37.bin"/><Relationship Id="rId90" Type="http://schemas.openxmlformats.org/officeDocument/2006/relationships/image" Target="media/image34.wmf"/><Relationship Id="rId9" Type="http://schemas.openxmlformats.org/officeDocument/2006/relationships/header" Target="header3.xml"/><Relationship Id="rId89" Type="http://schemas.openxmlformats.org/officeDocument/2006/relationships/oleObject" Target="embeddings/oleObject36.bin"/><Relationship Id="rId88" Type="http://schemas.openxmlformats.org/officeDocument/2006/relationships/image" Target="media/image33.wmf"/><Relationship Id="rId87" Type="http://schemas.openxmlformats.org/officeDocument/2006/relationships/oleObject" Target="embeddings/oleObject35.bin"/><Relationship Id="rId86" Type="http://schemas.openxmlformats.org/officeDocument/2006/relationships/image" Target="media/image32.wmf"/><Relationship Id="rId85" Type="http://schemas.openxmlformats.org/officeDocument/2006/relationships/oleObject" Target="embeddings/oleObject34.bin"/><Relationship Id="rId84" Type="http://schemas.openxmlformats.org/officeDocument/2006/relationships/image" Target="media/image31.wmf"/><Relationship Id="rId83" Type="http://schemas.openxmlformats.org/officeDocument/2006/relationships/oleObject" Target="embeddings/oleObject33.bin"/><Relationship Id="rId82" Type="http://schemas.openxmlformats.org/officeDocument/2006/relationships/image" Target="media/image30.wmf"/><Relationship Id="rId81" Type="http://schemas.openxmlformats.org/officeDocument/2006/relationships/oleObject" Target="embeddings/oleObject32.bin"/><Relationship Id="rId80" Type="http://schemas.openxmlformats.org/officeDocument/2006/relationships/image" Target="media/image29.wmf"/><Relationship Id="rId8" Type="http://schemas.openxmlformats.org/officeDocument/2006/relationships/footer" Target="footer2.xml"/><Relationship Id="rId79" Type="http://schemas.openxmlformats.org/officeDocument/2006/relationships/oleObject" Target="embeddings/oleObject31.bin"/><Relationship Id="rId78" Type="http://schemas.openxmlformats.org/officeDocument/2006/relationships/image" Target="media/image28.wmf"/><Relationship Id="rId77" Type="http://schemas.openxmlformats.org/officeDocument/2006/relationships/oleObject" Target="embeddings/oleObject30.bin"/><Relationship Id="rId76" Type="http://schemas.openxmlformats.org/officeDocument/2006/relationships/image" Target="media/image27.wmf"/><Relationship Id="rId75" Type="http://schemas.openxmlformats.org/officeDocument/2006/relationships/oleObject" Target="embeddings/oleObject29.bin"/><Relationship Id="rId74" Type="http://schemas.openxmlformats.org/officeDocument/2006/relationships/image" Target="media/image26.wmf"/><Relationship Id="rId73" Type="http://schemas.openxmlformats.org/officeDocument/2006/relationships/oleObject" Target="embeddings/oleObject28.bin"/><Relationship Id="rId72" Type="http://schemas.openxmlformats.org/officeDocument/2006/relationships/image" Target="media/image25.wmf"/><Relationship Id="rId71" Type="http://schemas.openxmlformats.org/officeDocument/2006/relationships/oleObject" Target="embeddings/oleObject27.bin"/><Relationship Id="rId70" Type="http://schemas.openxmlformats.org/officeDocument/2006/relationships/image" Target="media/image24.wmf"/><Relationship Id="rId7" Type="http://schemas.openxmlformats.org/officeDocument/2006/relationships/footer" Target="footer1.xml"/><Relationship Id="rId69" Type="http://schemas.openxmlformats.org/officeDocument/2006/relationships/oleObject" Target="embeddings/oleObject26.bin"/><Relationship Id="rId68" Type="http://schemas.openxmlformats.org/officeDocument/2006/relationships/image" Target="media/image23.wmf"/><Relationship Id="rId67" Type="http://schemas.openxmlformats.org/officeDocument/2006/relationships/oleObject" Target="embeddings/oleObject25.bin"/><Relationship Id="rId66" Type="http://schemas.openxmlformats.org/officeDocument/2006/relationships/image" Target="media/image22.wmf"/><Relationship Id="rId65" Type="http://schemas.openxmlformats.org/officeDocument/2006/relationships/oleObject" Target="embeddings/oleObject24.bin"/><Relationship Id="rId64" Type="http://schemas.openxmlformats.org/officeDocument/2006/relationships/image" Target="media/image21.wmf"/><Relationship Id="rId63" Type="http://schemas.openxmlformats.org/officeDocument/2006/relationships/oleObject" Target="embeddings/oleObject23.bin"/><Relationship Id="rId62" Type="http://schemas.openxmlformats.org/officeDocument/2006/relationships/oleObject" Target="embeddings/oleObject22.bin"/><Relationship Id="rId61" Type="http://schemas.openxmlformats.org/officeDocument/2006/relationships/oleObject" Target="embeddings/oleObject21.bin"/><Relationship Id="rId60" Type="http://schemas.openxmlformats.org/officeDocument/2006/relationships/oleObject" Target="embeddings/oleObject20.bin"/><Relationship Id="rId6" Type="http://schemas.openxmlformats.org/officeDocument/2006/relationships/header" Target="header2.xml"/><Relationship Id="rId59" Type="http://schemas.openxmlformats.org/officeDocument/2006/relationships/oleObject" Target="embeddings/oleObject19.bin"/><Relationship Id="rId58" Type="http://schemas.openxmlformats.org/officeDocument/2006/relationships/image" Target="media/image20.wmf"/><Relationship Id="rId57" Type="http://schemas.openxmlformats.org/officeDocument/2006/relationships/oleObject" Target="embeddings/oleObject18.bin"/><Relationship Id="rId56" Type="http://schemas.openxmlformats.org/officeDocument/2006/relationships/image" Target="media/image19.wmf"/><Relationship Id="rId55" Type="http://schemas.openxmlformats.org/officeDocument/2006/relationships/oleObject" Target="embeddings/oleObject17.bin"/><Relationship Id="rId54" Type="http://schemas.openxmlformats.org/officeDocument/2006/relationships/image" Target="media/image18.wmf"/><Relationship Id="rId53" Type="http://schemas.openxmlformats.org/officeDocument/2006/relationships/oleObject" Target="embeddings/oleObject16.bin"/><Relationship Id="rId52" Type="http://schemas.openxmlformats.org/officeDocument/2006/relationships/image" Target="media/image17.wmf"/><Relationship Id="rId51" Type="http://schemas.openxmlformats.org/officeDocument/2006/relationships/oleObject" Target="embeddings/oleObject15.bin"/><Relationship Id="rId50" Type="http://schemas.openxmlformats.org/officeDocument/2006/relationships/image" Target="media/image16.wmf"/><Relationship Id="rId5" Type="http://schemas.openxmlformats.org/officeDocument/2006/relationships/header" Target="header1.xml"/><Relationship Id="rId49" Type="http://schemas.openxmlformats.org/officeDocument/2006/relationships/oleObject" Target="embeddings/oleObject14.bin"/><Relationship Id="rId48" Type="http://schemas.openxmlformats.org/officeDocument/2006/relationships/image" Target="media/image15.wmf"/><Relationship Id="rId47" Type="http://schemas.openxmlformats.org/officeDocument/2006/relationships/oleObject" Target="embeddings/oleObject13.bin"/><Relationship Id="rId46" Type="http://schemas.openxmlformats.org/officeDocument/2006/relationships/image" Target="media/image14.wmf"/><Relationship Id="rId45" Type="http://schemas.openxmlformats.org/officeDocument/2006/relationships/oleObject" Target="embeddings/oleObject12.bin"/><Relationship Id="rId44" Type="http://schemas.openxmlformats.org/officeDocument/2006/relationships/image" Target="media/image13.wmf"/><Relationship Id="rId43" Type="http://schemas.openxmlformats.org/officeDocument/2006/relationships/oleObject" Target="embeddings/oleObject11.bin"/><Relationship Id="rId42" Type="http://schemas.openxmlformats.org/officeDocument/2006/relationships/image" Target="media/image12.wmf"/><Relationship Id="rId41" Type="http://schemas.openxmlformats.org/officeDocument/2006/relationships/oleObject" Target="embeddings/oleObject10.bin"/><Relationship Id="rId40" Type="http://schemas.openxmlformats.org/officeDocument/2006/relationships/image" Target="media/image11.wmf"/><Relationship Id="rId4" Type="http://schemas.openxmlformats.org/officeDocument/2006/relationships/endnotes" Target="endnotes.xml"/><Relationship Id="rId39" Type="http://schemas.openxmlformats.org/officeDocument/2006/relationships/oleObject" Target="embeddings/oleObject9.bin"/><Relationship Id="rId38" Type="http://schemas.openxmlformats.org/officeDocument/2006/relationships/image" Target="media/image10.wmf"/><Relationship Id="rId37" Type="http://schemas.openxmlformats.org/officeDocument/2006/relationships/oleObject" Target="embeddings/oleObject8.bin"/><Relationship Id="rId36" Type="http://schemas.openxmlformats.org/officeDocument/2006/relationships/image" Target="media/image9.wmf"/><Relationship Id="rId35" Type="http://schemas.openxmlformats.org/officeDocument/2006/relationships/oleObject" Target="embeddings/oleObject7.bin"/><Relationship Id="rId34" Type="http://schemas.openxmlformats.org/officeDocument/2006/relationships/image" Target="media/image8.wmf"/><Relationship Id="rId33" Type="http://schemas.openxmlformats.org/officeDocument/2006/relationships/oleObject" Target="embeddings/oleObject6.bin"/><Relationship Id="rId32" Type="http://schemas.openxmlformats.org/officeDocument/2006/relationships/image" Target="media/image7.wmf"/><Relationship Id="rId31" Type="http://schemas.openxmlformats.org/officeDocument/2006/relationships/oleObject" Target="embeddings/oleObject5.bin"/><Relationship Id="rId30" Type="http://schemas.openxmlformats.org/officeDocument/2006/relationships/image" Target="media/image6.w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image" Target="media/image5.wmf"/><Relationship Id="rId27" Type="http://schemas.openxmlformats.org/officeDocument/2006/relationships/oleObject" Target="embeddings/oleObject3.bin"/><Relationship Id="rId26" Type="http://schemas.openxmlformats.org/officeDocument/2006/relationships/image" Target="media/image4.wmf"/><Relationship Id="rId25" Type="http://schemas.openxmlformats.org/officeDocument/2006/relationships/oleObject" Target="embeddings/oleObject2.bin"/><Relationship Id="rId24" Type="http://schemas.openxmlformats.org/officeDocument/2006/relationships/image" Target="media/image3.wmf"/><Relationship Id="rId23" Type="http://schemas.openxmlformats.org/officeDocument/2006/relationships/image" Target="media/image2.wmf"/><Relationship Id="rId22" Type="http://schemas.openxmlformats.org/officeDocument/2006/relationships/oleObject" Target="embeddings/oleObject1.bin"/><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footer" Target="footer6.xml"/><Relationship Id="rId169" Type="http://schemas.openxmlformats.org/officeDocument/2006/relationships/fontTable" Target="fontTable.xml"/><Relationship Id="rId168" Type="http://schemas.openxmlformats.org/officeDocument/2006/relationships/customXml" Target="../customXml/item2.xml"/><Relationship Id="rId167" Type="http://schemas.openxmlformats.org/officeDocument/2006/relationships/numbering" Target="numbering.xml"/><Relationship Id="rId166" Type="http://schemas.openxmlformats.org/officeDocument/2006/relationships/customXml" Target="../customXml/item1.xml"/><Relationship Id="rId165" Type="http://schemas.openxmlformats.org/officeDocument/2006/relationships/image" Target="media/image70.wmf"/><Relationship Id="rId164" Type="http://schemas.openxmlformats.org/officeDocument/2006/relationships/oleObject" Target="embeddings/oleObject75.bin"/><Relationship Id="rId163" Type="http://schemas.openxmlformats.org/officeDocument/2006/relationships/image" Target="media/image69.wmf"/><Relationship Id="rId162" Type="http://schemas.openxmlformats.org/officeDocument/2006/relationships/oleObject" Target="embeddings/oleObject74.bin"/><Relationship Id="rId161" Type="http://schemas.openxmlformats.org/officeDocument/2006/relationships/image" Target="media/image68.wmf"/><Relationship Id="rId160" Type="http://schemas.openxmlformats.org/officeDocument/2006/relationships/oleObject" Target="embeddings/oleObject73.bin"/><Relationship Id="rId16" Type="http://schemas.openxmlformats.org/officeDocument/2006/relationships/footer" Target="footer5.xml"/><Relationship Id="rId159" Type="http://schemas.openxmlformats.org/officeDocument/2006/relationships/image" Target="media/image67.wmf"/><Relationship Id="rId158" Type="http://schemas.openxmlformats.org/officeDocument/2006/relationships/oleObject" Target="embeddings/oleObject72.bin"/><Relationship Id="rId157" Type="http://schemas.openxmlformats.org/officeDocument/2006/relationships/image" Target="media/image66.wmf"/><Relationship Id="rId156" Type="http://schemas.openxmlformats.org/officeDocument/2006/relationships/oleObject" Target="embeddings/oleObject71.bin"/><Relationship Id="rId155" Type="http://schemas.openxmlformats.org/officeDocument/2006/relationships/image" Target="media/image65.wmf"/><Relationship Id="rId154" Type="http://schemas.openxmlformats.org/officeDocument/2006/relationships/oleObject" Target="embeddings/oleObject70.bin"/><Relationship Id="rId153" Type="http://schemas.openxmlformats.org/officeDocument/2006/relationships/image" Target="media/image64.wmf"/><Relationship Id="rId152" Type="http://schemas.openxmlformats.org/officeDocument/2006/relationships/oleObject" Target="embeddings/oleObject69.bin"/><Relationship Id="rId151" Type="http://schemas.openxmlformats.org/officeDocument/2006/relationships/image" Target="media/image63.wmf"/><Relationship Id="rId150" Type="http://schemas.openxmlformats.org/officeDocument/2006/relationships/oleObject" Target="embeddings/oleObject68.bin"/><Relationship Id="rId15" Type="http://schemas.openxmlformats.org/officeDocument/2006/relationships/header" Target="header7.xml"/><Relationship Id="rId149" Type="http://schemas.openxmlformats.org/officeDocument/2006/relationships/image" Target="media/image62.wmf"/><Relationship Id="rId148" Type="http://schemas.openxmlformats.org/officeDocument/2006/relationships/oleObject" Target="embeddings/oleObject67.bin"/><Relationship Id="rId147" Type="http://schemas.openxmlformats.org/officeDocument/2006/relationships/image" Target="media/image61.wmf"/><Relationship Id="rId146" Type="http://schemas.openxmlformats.org/officeDocument/2006/relationships/oleObject" Target="embeddings/oleObject66.bin"/><Relationship Id="rId145" Type="http://schemas.openxmlformats.org/officeDocument/2006/relationships/image" Target="media/image60.wmf"/><Relationship Id="rId144" Type="http://schemas.openxmlformats.org/officeDocument/2006/relationships/oleObject" Target="embeddings/oleObject65.bin"/><Relationship Id="rId143" Type="http://schemas.openxmlformats.org/officeDocument/2006/relationships/image" Target="media/image59.wmf"/><Relationship Id="rId142" Type="http://schemas.openxmlformats.org/officeDocument/2006/relationships/oleObject" Target="embeddings/oleObject64.bin"/><Relationship Id="rId141" Type="http://schemas.openxmlformats.org/officeDocument/2006/relationships/image" Target="media/image58.wmf"/><Relationship Id="rId140" Type="http://schemas.openxmlformats.org/officeDocument/2006/relationships/oleObject" Target="embeddings/oleObject63.bin"/><Relationship Id="rId14" Type="http://schemas.openxmlformats.org/officeDocument/2006/relationships/header" Target="header6.xml"/><Relationship Id="rId139" Type="http://schemas.openxmlformats.org/officeDocument/2006/relationships/image" Target="media/image57.wmf"/><Relationship Id="rId138" Type="http://schemas.openxmlformats.org/officeDocument/2006/relationships/oleObject" Target="embeddings/oleObject62.bin"/><Relationship Id="rId137" Type="http://schemas.openxmlformats.org/officeDocument/2006/relationships/image" Target="media/image56.wmf"/><Relationship Id="rId136" Type="http://schemas.openxmlformats.org/officeDocument/2006/relationships/oleObject" Target="embeddings/oleObject61.bin"/><Relationship Id="rId135" Type="http://schemas.openxmlformats.org/officeDocument/2006/relationships/oleObject" Target="embeddings/oleObject60.bin"/><Relationship Id="rId134" Type="http://schemas.openxmlformats.org/officeDocument/2006/relationships/oleObject" Target="embeddings/oleObject59.bin"/><Relationship Id="rId133" Type="http://schemas.openxmlformats.org/officeDocument/2006/relationships/image" Target="media/image55.wmf"/><Relationship Id="rId132" Type="http://schemas.openxmlformats.org/officeDocument/2006/relationships/oleObject" Target="embeddings/oleObject58.bin"/><Relationship Id="rId131" Type="http://schemas.openxmlformats.org/officeDocument/2006/relationships/image" Target="media/image54.wmf"/><Relationship Id="rId130" Type="http://schemas.openxmlformats.org/officeDocument/2006/relationships/oleObject" Target="embeddings/oleObject57.bin"/><Relationship Id="rId13" Type="http://schemas.openxmlformats.org/officeDocument/2006/relationships/header" Target="header5.xml"/><Relationship Id="rId129" Type="http://schemas.openxmlformats.org/officeDocument/2006/relationships/image" Target="media/image53.wmf"/><Relationship Id="rId128" Type="http://schemas.openxmlformats.org/officeDocument/2006/relationships/oleObject" Target="embeddings/oleObject56.bin"/><Relationship Id="rId127" Type="http://schemas.openxmlformats.org/officeDocument/2006/relationships/image" Target="media/image52.wmf"/><Relationship Id="rId126" Type="http://schemas.openxmlformats.org/officeDocument/2006/relationships/oleObject" Target="embeddings/oleObject55.bin"/><Relationship Id="rId125" Type="http://schemas.openxmlformats.org/officeDocument/2006/relationships/image" Target="media/image51.wmf"/><Relationship Id="rId124" Type="http://schemas.openxmlformats.org/officeDocument/2006/relationships/oleObject" Target="embeddings/oleObject54.bin"/><Relationship Id="rId123" Type="http://schemas.openxmlformats.org/officeDocument/2006/relationships/image" Target="media/image50.wmf"/><Relationship Id="rId122" Type="http://schemas.openxmlformats.org/officeDocument/2006/relationships/oleObject" Target="embeddings/oleObject53.bin"/><Relationship Id="rId121" Type="http://schemas.openxmlformats.org/officeDocument/2006/relationships/image" Target="media/image49.wmf"/><Relationship Id="rId120" Type="http://schemas.openxmlformats.org/officeDocument/2006/relationships/oleObject" Target="embeddings/oleObject52.bin"/><Relationship Id="rId12" Type="http://schemas.openxmlformats.org/officeDocument/2006/relationships/footer" Target="footer4.xml"/><Relationship Id="rId119" Type="http://schemas.openxmlformats.org/officeDocument/2006/relationships/image" Target="media/image48.wmf"/><Relationship Id="rId118" Type="http://schemas.openxmlformats.org/officeDocument/2006/relationships/oleObject" Target="embeddings/oleObject51.bin"/><Relationship Id="rId117" Type="http://schemas.openxmlformats.org/officeDocument/2006/relationships/image" Target="media/image47.wmf"/><Relationship Id="rId116" Type="http://schemas.openxmlformats.org/officeDocument/2006/relationships/oleObject" Target="embeddings/oleObject50.bin"/><Relationship Id="rId115" Type="http://schemas.openxmlformats.org/officeDocument/2006/relationships/image" Target="media/image46.wmf"/><Relationship Id="rId114" Type="http://schemas.openxmlformats.org/officeDocument/2006/relationships/oleObject" Target="embeddings/oleObject49.bin"/><Relationship Id="rId113" Type="http://schemas.openxmlformats.org/officeDocument/2006/relationships/image" Target="media/image45.wmf"/><Relationship Id="rId112" Type="http://schemas.openxmlformats.org/officeDocument/2006/relationships/oleObject" Target="embeddings/oleObject48.bin"/><Relationship Id="rId111" Type="http://schemas.openxmlformats.org/officeDocument/2006/relationships/image" Target="media/image44.wmf"/><Relationship Id="rId110" Type="http://schemas.openxmlformats.org/officeDocument/2006/relationships/oleObject" Target="embeddings/oleObject47.bin"/><Relationship Id="rId11" Type="http://schemas.openxmlformats.org/officeDocument/2006/relationships/footer" Target="footer3.xml"/><Relationship Id="rId109" Type="http://schemas.openxmlformats.org/officeDocument/2006/relationships/image" Target="media/image43.wmf"/><Relationship Id="rId108" Type="http://schemas.openxmlformats.org/officeDocument/2006/relationships/oleObject" Target="embeddings/oleObject46.bin"/><Relationship Id="rId107" Type="http://schemas.openxmlformats.org/officeDocument/2006/relationships/image" Target="media/image42.wmf"/><Relationship Id="rId106" Type="http://schemas.openxmlformats.org/officeDocument/2006/relationships/oleObject" Target="embeddings/oleObject45.bin"/><Relationship Id="rId105" Type="http://schemas.openxmlformats.org/officeDocument/2006/relationships/image" Target="media/image41.wmf"/><Relationship Id="rId104" Type="http://schemas.openxmlformats.org/officeDocument/2006/relationships/oleObject" Target="embeddings/oleObject44.bin"/><Relationship Id="rId103" Type="http://schemas.openxmlformats.org/officeDocument/2006/relationships/image" Target="media/image40.wmf"/><Relationship Id="rId102" Type="http://schemas.openxmlformats.org/officeDocument/2006/relationships/oleObject" Target="embeddings/oleObject43.bin"/><Relationship Id="rId101" Type="http://schemas.openxmlformats.org/officeDocument/2006/relationships/image" Target="media/image39.wmf"/><Relationship Id="rId100" Type="http://schemas.openxmlformats.org/officeDocument/2006/relationships/oleObject" Target="embeddings/oleObject42.bin"/><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216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6A639A-F906-4A5C-9583-CA9C2148F97C}">
  <ds:schemaRefs/>
</ds:datastoreItem>
</file>

<file path=docProps/app.xml><?xml version="1.0" encoding="utf-8"?>
<Properties xmlns="http://schemas.openxmlformats.org/officeDocument/2006/extended-properties" xmlns:vt="http://schemas.openxmlformats.org/officeDocument/2006/docPropsVTypes">
  <Template>Normal</Template>
  <Pages>23</Pages>
  <Words>5191</Words>
  <Characters>6282</Characters>
  <Lines>349</Lines>
  <Paragraphs>409</Paragraphs>
  <TotalTime>344</TotalTime>
  <ScaleCrop>false</ScaleCrop>
  <LinksUpToDate>false</LinksUpToDate>
  <CharactersWithSpaces>11064</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2025-08-08T06:01:00Z</dcterms:created>
  <dc:creator>Administrator</dc:creator>
  <cp:lastModifiedBy>Administrator</cp:lastModifiedBy>
  <cp:lastPrinted>2019-10-15T11:47:00Z</cp:lastPrinted>
  <dcterms:modified xsi:type="dcterms:W3CDTF">2026-03-13T08:16:18Z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密级">
    <vt:r8>0</vt:r8>
  </property>
  <property fmtid="{D5CDD505-2E9C-101B-9397-08002B2CF9AE}" pid="3" name="分类号">
    <vt:lpwstr>0000</vt:lpwstr>
  </property>
  <property fmtid="{D5CDD505-2E9C-101B-9397-08002B2CF9AE}" pid="4" name="类型">
    <vt:lpwstr>GJB</vt:lpwstr>
  </property>
  <property fmtid="{D5CDD505-2E9C-101B-9397-08002B2CF9AE}" pid="5" name="编号1">
    <vt:lpwstr>××××</vt:lpwstr>
  </property>
  <property fmtid="{D5CDD505-2E9C-101B-9397-08002B2CF9AE}" pid="6" name="编号2">
    <vt:lpwstr>××××</vt:lpwstr>
  </property>
  <property fmtid="{D5CDD505-2E9C-101B-9397-08002B2CF9AE}" pid="7" name="中文名称">
    <vt:lpwstr>频率标准的远程校准规范</vt:lpwstr>
  </property>
  <property fmtid="{D5CDD505-2E9C-101B-9397-08002B2CF9AE}" pid="8" name="英文名称">
    <vt:lpwstr>Calibration specification for frequency standards _x005f_x000d_
by long distance frequency measurement_x005f_x000d_
</vt:lpwstr>
  </property>
  <property fmtid="{D5CDD505-2E9C-101B-9397-08002B2CF9AE}" pid="9" name="稿件">
    <vt:r8>3</vt:r8>
  </property>
  <property fmtid="{D5CDD505-2E9C-101B-9397-08002B2CF9AE}" pid="10" name="发布年份">
    <vt:lpwstr>200</vt:lpwstr>
  </property>
  <property fmtid="{D5CDD505-2E9C-101B-9397-08002B2CF9AE}" pid="11" name="实施年份">
    <vt:lpwstr>200</vt:lpwstr>
  </property>
  <property fmtid="{D5CDD505-2E9C-101B-9397-08002B2CF9AE}" pid="12" name="部门">
    <vt:lpwstr>国防科学技术工业委员会</vt:lpwstr>
  </property>
  <property fmtid="{D5CDD505-2E9C-101B-9397-08002B2CF9AE}" pid="13" name="是否有索引项">
    <vt:lpwstr>否</vt:lpwstr>
  </property>
  <property fmtid="{D5CDD505-2E9C-101B-9397-08002B2CF9AE}" pid="14" name="KSOProductBuildVer">
    <vt:lpwstr>2052-12.8.2.18606</vt:lpwstr>
  </property>
  <property fmtid="{D5CDD505-2E9C-101B-9397-08002B2CF9AE}" pid="15" name="ICV">
    <vt:lpwstr>1EAD1B79B2F44629B07B4C8B6E8823BF</vt:lpwstr>
  </property>
  <property fmtid="{D5CDD505-2E9C-101B-9397-08002B2CF9AE}" pid="16" name="MTWinEqns">
    <vt:bool>true</vt:bool>
  </property>
</Properties>
</file>